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9255" w14:textId="66E2B5FC" w:rsidR="00E034D8" w:rsidRDefault="00E034D8" w:rsidP="00787076">
      <w:pPr>
        <w:pStyle w:val="ListParagraph"/>
        <w:ind w:left="0" w:right="107"/>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73926122" w14:textId="7261AB0E" w:rsidR="00DD1F92" w:rsidRPr="000A725F" w:rsidRDefault="000F5EEB" w:rsidP="0054120A">
      <w:pPr>
        <w:pStyle w:val="ListParagraph"/>
        <w:ind w:left="0" w:right="107"/>
        <w:jc w:val="center"/>
        <w:rPr>
          <w:rFonts w:ascii="Garamond" w:hAnsi="Garamond"/>
          <w:b/>
          <w:sz w:val="32"/>
          <w:szCs w:val="32"/>
          <w:lang w:val="id-ID"/>
        </w:rPr>
      </w:pPr>
      <w:r w:rsidRPr="000F5EEB">
        <w:rPr>
          <w:rFonts w:ascii="Garamond" w:hAnsi="Garamond"/>
          <w:b/>
          <w:sz w:val="32"/>
          <w:szCs w:val="32"/>
          <w:lang w:val="id-ID"/>
        </w:rPr>
        <w:t>CAUSALITY ANALYSIS OF MILITARY EXPENDITURE, ECONOMIC GROWTH, AND EXCHANGE RATE IN INDONESIA 2000 – 2023</w:t>
      </w:r>
    </w:p>
    <w:p w14:paraId="04A31159" w14:textId="576DF1E8" w:rsidR="00073BFE" w:rsidRPr="000A725F" w:rsidRDefault="00073BFE" w:rsidP="0054120A">
      <w:pPr>
        <w:pStyle w:val="ListParagraph"/>
        <w:ind w:left="0" w:right="107"/>
        <w:jc w:val="center"/>
        <w:rPr>
          <w:rFonts w:ascii="Garamond" w:hAnsi="Garamond"/>
          <w:b/>
          <w:color w:val="000000" w:themeColor="text1"/>
          <w:lang w:bidi="en-US"/>
        </w:rPr>
      </w:pPr>
    </w:p>
    <w:p w14:paraId="2C5D3949" w14:textId="1F644E72" w:rsidR="004B5EDE" w:rsidRPr="00787076" w:rsidRDefault="000F5EEB" w:rsidP="0054120A">
      <w:pPr>
        <w:pStyle w:val="ListParagraph"/>
        <w:ind w:left="0" w:right="107"/>
        <w:jc w:val="center"/>
        <w:rPr>
          <w:rFonts w:ascii="Garamond" w:hAnsi="Garamond"/>
          <w:b/>
          <w:color w:val="000000" w:themeColor="text1"/>
          <w:lang w:val="fi-FI"/>
        </w:rPr>
      </w:pPr>
      <w:r w:rsidRPr="00787076">
        <w:rPr>
          <w:rFonts w:ascii="Garamond" w:hAnsi="Garamond"/>
          <w:b/>
          <w:bCs/>
          <w:color w:val="000000" w:themeColor="text1"/>
          <w:lang w:val="fi-FI"/>
        </w:rPr>
        <w:t>Shaghi Ratu Sa’bani</w:t>
      </w:r>
      <w:r w:rsidR="00E034D8" w:rsidRPr="00787076">
        <w:rPr>
          <w:rFonts w:ascii="Garamond" w:hAnsi="Garamond"/>
          <w:b/>
          <w:bCs/>
          <w:color w:val="000000" w:themeColor="text1"/>
          <w:vertAlign w:val="superscript"/>
          <w:lang w:val="fi-FI"/>
        </w:rPr>
        <w:t>1</w:t>
      </w:r>
      <w:r w:rsidRPr="00787076">
        <w:rPr>
          <w:rFonts w:ascii="Garamond" w:hAnsi="Garamond"/>
          <w:b/>
          <w:bCs/>
          <w:color w:val="000000" w:themeColor="text1"/>
          <w:lang w:val="fi-FI"/>
        </w:rPr>
        <w:t>, Sri Iswati</w:t>
      </w:r>
      <w:r w:rsidRPr="00787076">
        <w:rPr>
          <w:rFonts w:ascii="Garamond" w:hAnsi="Garamond"/>
          <w:b/>
          <w:bCs/>
          <w:color w:val="000000" w:themeColor="text1"/>
          <w:vertAlign w:val="superscript"/>
          <w:lang w:val="fi-FI"/>
        </w:rPr>
        <w:t>2</w:t>
      </w:r>
      <w:r w:rsidRPr="00787076">
        <w:rPr>
          <w:rFonts w:ascii="Garamond" w:hAnsi="Garamond"/>
          <w:b/>
          <w:bCs/>
          <w:color w:val="000000" w:themeColor="text1"/>
          <w:lang w:val="fi-FI"/>
        </w:rPr>
        <w:t>, Muliahadi Tumanggor</w:t>
      </w:r>
      <w:r w:rsidRPr="00787076">
        <w:rPr>
          <w:rFonts w:ascii="Garamond" w:hAnsi="Garamond"/>
          <w:b/>
          <w:bCs/>
          <w:color w:val="000000" w:themeColor="text1"/>
          <w:vertAlign w:val="superscript"/>
          <w:lang w:val="fi-FI"/>
        </w:rPr>
        <w:t>3</w:t>
      </w:r>
      <w:r w:rsidRPr="00787076">
        <w:rPr>
          <w:rFonts w:ascii="Garamond" w:hAnsi="Garamond"/>
          <w:b/>
          <w:bCs/>
          <w:color w:val="000000" w:themeColor="text1"/>
          <w:lang w:val="fi-FI"/>
        </w:rPr>
        <w:t xml:space="preserve"> </w:t>
      </w:r>
    </w:p>
    <w:p w14:paraId="333938C6" w14:textId="040B2F7C" w:rsidR="00DD1F92" w:rsidRPr="00787076" w:rsidRDefault="00DD1F92" w:rsidP="0054120A">
      <w:pPr>
        <w:pStyle w:val="ListParagraph"/>
        <w:ind w:left="0" w:right="107"/>
        <w:jc w:val="center"/>
        <w:rPr>
          <w:rFonts w:ascii="Garamond" w:hAnsi="Garamond"/>
          <w:b/>
          <w:lang w:val="fi-FI"/>
        </w:rPr>
      </w:pPr>
    </w:p>
    <w:p w14:paraId="7FE197C3" w14:textId="0FBA2774" w:rsidR="00073BFE" w:rsidRPr="00E034D8" w:rsidRDefault="00E034D8" w:rsidP="0054120A">
      <w:pPr>
        <w:pStyle w:val="ListParagraph"/>
        <w:ind w:left="0" w:right="107"/>
        <w:jc w:val="center"/>
        <w:rPr>
          <w:rFonts w:ascii="Garamond" w:hAnsi="Garamond"/>
          <w:lang w:val="id-ID"/>
        </w:rPr>
      </w:pPr>
      <w:r>
        <w:rPr>
          <w:rFonts w:ascii="Garamond" w:hAnsi="Garamond"/>
          <w:vertAlign w:val="superscript"/>
        </w:rPr>
        <w:t>1</w:t>
      </w:r>
      <w:r w:rsidR="008E6DAC">
        <w:rPr>
          <w:rFonts w:ascii="Garamond" w:hAnsi="Garamond"/>
          <w:vertAlign w:val="superscript"/>
        </w:rPr>
        <w:t>,2.,3</w:t>
      </w:r>
      <w:r w:rsidR="000F5EEB">
        <w:rPr>
          <w:rFonts w:ascii="Garamond" w:hAnsi="Garamond"/>
        </w:rPr>
        <w:t xml:space="preserve">Indonesia </w:t>
      </w:r>
      <w:proofErr w:type="spellStart"/>
      <w:r w:rsidR="000F5EEB">
        <w:rPr>
          <w:rFonts w:ascii="Garamond" w:hAnsi="Garamond"/>
        </w:rPr>
        <w:t>Defense</w:t>
      </w:r>
      <w:proofErr w:type="spellEnd"/>
      <w:r w:rsidR="000F5EEB">
        <w:rPr>
          <w:rFonts w:ascii="Garamond" w:hAnsi="Garamond"/>
        </w:rPr>
        <w:t xml:space="preserve"> University</w:t>
      </w:r>
    </w:p>
    <w:p w14:paraId="1530831C" w14:textId="605F2F76" w:rsidR="00611CAA" w:rsidRPr="000A725F" w:rsidRDefault="00323B01" w:rsidP="0054120A">
      <w:pPr>
        <w:shd w:val="clear" w:color="auto" w:fill="FFFFFF"/>
        <w:contextualSpacing/>
        <w:jc w:val="center"/>
        <w:outlineLvl w:val="2"/>
        <w:rPr>
          <w:rFonts w:ascii="Garamond" w:hAnsi="Garamond"/>
          <w:bCs/>
          <w:i/>
          <w:color w:val="000000" w:themeColor="text1"/>
          <w:spacing w:val="3"/>
        </w:rPr>
      </w:pPr>
      <w:r w:rsidRPr="000A725F">
        <w:rPr>
          <w:rFonts w:ascii="Garamond" w:hAnsi="Garamond"/>
          <w:i/>
          <w:color w:val="000000" w:themeColor="text1"/>
        </w:rPr>
        <w:t xml:space="preserve">e-mail: </w:t>
      </w:r>
      <w:r w:rsidR="006F5A73">
        <w:rPr>
          <w:rFonts w:ascii="Garamond" w:hAnsi="Garamond"/>
          <w:bCs/>
          <w:i/>
          <w:color w:val="000000" w:themeColor="text1"/>
          <w:spacing w:val="3"/>
          <w:lang w:val="id-ID"/>
        </w:rPr>
        <w:t>shaghirasbn@gmail.com</w:t>
      </w:r>
      <w:r w:rsidR="00E034D8">
        <w:rPr>
          <w:rFonts w:ascii="Garamond" w:hAnsi="Garamond"/>
          <w:bCs/>
          <w:i/>
          <w:color w:val="000000" w:themeColor="text1"/>
          <w:spacing w:val="3"/>
          <w:lang w:val="id-ID"/>
        </w:rPr>
        <w:t xml:space="preserve"> </w:t>
      </w:r>
    </w:p>
    <w:p w14:paraId="318CCFFB" w14:textId="542A155B" w:rsidR="009C3EA9" w:rsidRPr="000A725F" w:rsidRDefault="009C3EA9"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6CF8D4B6" w:rsidR="000A725F" w:rsidRDefault="000A725F" w:rsidP="0054120A">
      <w:pPr>
        <w:spacing w:after="160"/>
        <w:contextualSpacing/>
        <w:jc w:val="center"/>
        <w:rPr>
          <w:rFonts w:ascii="Garamond" w:hAnsi="Garamond"/>
          <w:b/>
          <w:bCs/>
        </w:rPr>
      </w:pPr>
      <w:r w:rsidRPr="004C06AE">
        <w:rPr>
          <w:rFonts w:ascii="Garamond" w:hAnsi="Garamond"/>
          <w:b/>
          <w:bCs/>
        </w:rPr>
        <w:t>ABSTRACT</w:t>
      </w:r>
    </w:p>
    <w:p w14:paraId="24A196DB" w14:textId="5B2881BB" w:rsidR="00B315F0" w:rsidRPr="004C06AE" w:rsidRDefault="00B315F0" w:rsidP="0054120A">
      <w:pPr>
        <w:spacing w:after="160"/>
        <w:contextualSpacing/>
        <w:jc w:val="center"/>
        <w:rPr>
          <w:rFonts w:ascii="Garamond" w:hAnsi="Garamond"/>
        </w:rPr>
      </w:pPr>
    </w:p>
    <w:p w14:paraId="79550D4B" w14:textId="4522C3E3" w:rsidR="00787076" w:rsidRDefault="00787076" w:rsidP="004E5D62">
      <w:pPr>
        <w:jc w:val="both"/>
        <w:rPr>
          <w:rFonts w:ascii="Garamond" w:hAnsi="Garamond"/>
        </w:rPr>
      </w:pPr>
      <w:r w:rsidRPr="00787076">
        <w:rPr>
          <w:rFonts w:ascii="Garamond" w:hAnsi="Garamond"/>
        </w:rPr>
        <w:t xml:space="preserve">This </w:t>
      </w:r>
      <w:r w:rsidR="002C0D2F">
        <w:rPr>
          <w:rFonts w:ascii="Garamond" w:hAnsi="Garamond"/>
        </w:rPr>
        <w:t>study</w:t>
      </w:r>
      <w:r w:rsidRPr="00787076">
        <w:rPr>
          <w:rFonts w:ascii="Garamond" w:hAnsi="Garamond"/>
        </w:rPr>
        <w:t xml:space="preserve"> investigates the long-</w:t>
      </w:r>
      <w:r w:rsidR="00C141D5">
        <w:rPr>
          <w:rFonts w:ascii="Garamond" w:hAnsi="Garamond"/>
        </w:rPr>
        <w:t>term</w:t>
      </w:r>
      <w:r w:rsidRPr="00787076">
        <w:rPr>
          <w:rFonts w:ascii="Garamond" w:hAnsi="Garamond"/>
        </w:rPr>
        <w:t xml:space="preserve"> </w:t>
      </w:r>
      <w:r w:rsidR="00C141D5">
        <w:rPr>
          <w:rFonts w:ascii="Garamond" w:hAnsi="Garamond"/>
        </w:rPr>
        <w:t xml:space="preserve">relationship </w:t>
      </w:r>
      <w:r w:rsidRPr="00787076">
        <w:rPr>
          <w:rFonts w:ascii="Garamond" w:hAnsi="Garamond"/>
        </w:rPr>
        <w:t xml:space="preserve">and causal </w:t>
      </w:r>
      <w:r w:rsidR="00C141D5">
        <w:rPr>
          <w:rFonts w:ascii="Garamond" w:hAnsi="Garamond"/>
        </w:rPr>
        <w:t>dynamics</w:t>
      </w:r>
      <w:r w:rsidRPr="00787076">
        <w:rPr>
          <w:rFonts w:ascii="Garamond" w:hAnsi="Garamond"/>
        </w:rPr>
        <w:t xml:space="preserve"> among military expenditure, economic growth, and exchange rate in Indonesia over the period 2000-2023</w:t>
      </w:r>
      <w:r w:rsidR="00B85DE8">
        <w:rPr>
          <w:rFonts w:ascii="Garamond" w:hAnsi="Garamond"/>
        </w:rPr>
        <w:t xml:space="preserve"> t</w:t>
      </w:r>
      <w:r w:rsidR="00B85DE8" w:rsidRPr="00787076">
        <w:rPr>
          <w:rFonts w:ascii="Garamond" w:hAnsi="Garamond"/>
        </w:rPr>
        <w:t xml:space="preserve">o provide empirical insight into whether </w:t>
      </w:r>
      <w:proofErr w:type="spellStart"/>
      <w:r w:rsidR="00B85DE8" w:rsidRPr="00787076">
        <w:rPr>
          <w:rFonts w:ascii="Garamond" w:hAnsi="Garamond"/>
        </w:rPr>
        <w:t>defense</w:t>
      </w:r>
      <w:proofErr w:type="spellEnd"/>
      <w:r w:rsidR="00B85DE8" w:rsidRPr="00787076">
        <w:rPr>
          <w:rFonts w:ascii="Garamond" w:hAnsi="Garamond"/>
        </w:rPr>
        <w:t xml:space="preserve"> spending functions as a catalyst for economic growth or merely reflects the country’s fiscal capacity.</w:t>
      </w:r>
      <w:r w:rsidR="00C141D5">
        <w:rPr>
          <w:rFonts w:ascii="Garamond" w:hAnsi="Garamond"/>
        </w:rPr>
        <w:t xml:space="preserve"> Using annual time-series data from the World Bank’s World Development Indicators, the analysis applies the Johansen cointegration and Granger causality tests to assess both equilibrium and directional linkages</w:t>
      </w:r>
      <w:r w:rsidR="00B85DE8">
        <w:rPr>
          <w:rFonts w:ascii="Garamond" w:hAnsi="Garamond"/>
        </w:rPr>
        <w:t xml:space="preserve">. </w:t>
      </w:r>
      <w:r w:rsidRPr="00787076">
        <w:rPr>
          <w:rFonts w:ascii="Garamond" w:hAnsi="Garamond"/>
        </w:rPr>
        <w:t>Before estimation, all variables are expressed in natural logarithms and subjected to the Augmented Dickey–Fuller test to ensure robustness of the empirical results.</w:t>
      </w:r>
      <w:r w:rsidR="00B85DE8">
        <w:rPr>
          <w:rFonts w:ascii="Garamond" w:hAnsi="Garamond"/>
        </w:rPr>
        <w:t xml:space="preserve"> </w:t>
      </w:r>
      <w:r w:rsidRPr="00787076">
        <w:rPr>
          <w:rFonts w:ascii="Garamond" w:hAnsi="Garamond"/>
        </w:rPr>
        <w:t xml:space="preserve">The findings confirm one </w:t>
      </w:r>
      <w:r w:rsidR="00C141D5">
        <w:rPr>
          <w:rFonts w:ascii="Garamond" w:hAnsi="Garamond"/>
        </w:rPr>
        <w:t xml:space="preserve">significant </w:t>
      </w:r>
      <w:r w:rsidRPr="00787076">
        <w:rPr>
          <w:rFonts w:ascii="Garamond" w:hAnsi="Garamond"/>
        </w:rPr>
        <w:t xml:space="preserve">cointegration </w:t>
      </w:r>
      <w:r w:rsidR="00C141D5">
        <w:rPr>
          <w:rFonts w:ascii="Garamond" w:hAnsi="Garamond"/>
        </w:rPr>
        <w:t>relationship</w:t>
      </w:r>
      <w:r w:rsidRPr="00787076">
        <w:rPr>
          <w:rFonts w:ascii="Garamond" w:hAnsi="Garamond"/>
        </w:rPr>
        <w:t xml:space="preserve">, indicating a stable </w:t>
      </w:r>
      <w:r w:rsidR="00044302">
        <w:rPr>
          <w:rFonts w:ascii="Garamond" w:hAnsi="Garamond"/>
        </w:rPr>
        <w:t>long-term</w:t>
      </w:r>
      <w:r w:rsidRPr="00787076">
        <w:rPr>
          <w:rFonts w:ascii="Garamond" w:hAnsi="Garamond"/>
        </w:rPr>
        <w:t xml:space="preserve"> relationship among the variables. Granger causality </w:t>
      </w:r>
      <w:r w:rsidR="00C141D5">
        <w:rPr>
          <w:rFonts w:ascii="Garamond" w:hAnsi="Garamond"/>
        </w:rPr>
        <w:t xml:space="preserve">results identify </w:t>
      </w:r>
      <w:r w:rsidRPr="00787076">
        <w:rPr>
          <w:rFonts w:ascii="Garamond" w:hAnsi="Garamond"/>
        </w:rPr>
        <w:t xml:space="preserve">a unidirectional causality from </w:t>
      </w:r>
      <w:r w:rsidR="00855615">
        <w:rPr>
          <w:rFonts w:ascii="Garamond" w:hAnsi="Garamond"/>
        </w:rPr>
        <w:t xml:space="preserve">economic growth </w:t>
      </w:r>
      <w:r w:rsidRPr="00787076">
        <w:rPr>
          <w:rFonts w:ascii="Garamond" w:hAnsi="Garamond"/>
        </w:rPr>
        <w:t>to military expenditure</w:t>
      </w:r>
      <w:r w:rsidR="00855615">
        <w:rPr>
          <w:rFonts w:ascii="Garamond" w:hAnsi="Garamond"/>
        </w:rPr>
        <w:t xml:space="preserve">, and </w:t>
      </w:r>
      <w:r w:rsidRPr="00787076">
        <w:rPr>
          <w:rFonts w:ascii="Garamond" w:hAnsi="Garamond"/>
        </w:rPr>
        <w:t xml:space="preserve">from military expenditure to the exchange rate. These findings </w:t>
      </w:r>
      <w:r w:rsidR="00855615">
        <w:rPr>
          <w:rFonts w:ascii="Garamond" w:hAnsi="Garamond"/>
        </w:rPr>
        <w:t xml:space="preserve">suggest that Indonesia’s </w:t>
      </w:r>
      <w:proofErr w:type="spellStart"/>
      <w:r w:rsidR="00855615">
        <w:rPr>
          <w:rFonts w:ascii="Garamond" w:hAnsi="Garamond"/>
        </w:rPr>
        <w:t>defense</w:t>
      </w:r>
      <w:proofErr w:type="spellEnd"/>
      <w:r w:rsidR="00855615">
        <w:rPr>
          <w:rFonts w:ascii="Garamond" w:hAnsi="Garamond"/>
        </w:rPr>
        <w:t xml:space="preserve"> spending is primarily responsive to fiscal capacity while influencing exchange-rate stabilit</w:t>
      </w:r>
      <w:r w:rsidR="00B85DE8">
        <w:rPr>
          <w:rFonts w:ascii="Garamond" w:hAnsi="Garamond"/>
        </w:rPr>
        <w:t>y</w:t>
      </w:r>
      <w:r w:rsidR="00855615">
        <w:rPr>
          <w:rFonts w:ascii="Garamond" w:hAnsi="Garamond"/>
        </w:rPr>
        <w:t xml:space="preserve">. The study contributes to the </w:t>
      </w:r>
      <w:proofErr w:type="spellStart"/>
      <w:r w:rsidR="00855615">
        <w:rPr>
          <w:rFonts w:ascii="Garamond" w:hAnsi="Garamond"/>
        </w:rPr>
        <w:t>defense</w:t>
      </w:r>
      <w:proofErr w:type="spellEnd"/>
      <w:r w:rsidR="00855615">
        <w:rPr>
          <w:rFonts w:ascii="Garamond" w:hAnsi="Garamond"/>
        </w:rPr>
        <w:t xml:space="preserve"> economic literature by integrating </w:t>
      </w:r>
      <w:proofErr w:type="spellStart"/>
      <w:r w:rsidR="00B85DE8" w:rsidRPr="00787076">
        <w:rPr>
          <w:rFonts w:ascii="Garamond" w:hAnsi="Garamond"/>
        </w:rPr>
        <w:t>defense</w:t>
      </w:r>
      <w:proofErr w:type="spellEnd"/>
      <w:r w:rsidR="00B85DE8" w:rsidRPr="00787076">
        <w:rPr>
          <w:rFonts w:ascii="Garamond" w:hAnsi="Garamond"/>
        </w:rPr>
        <w:t xml:space="preserve"> spending with economic development strategies through domestic procurement, fiscal efficiency, and the strengthening of strategic industries to maximize multiplier effects on economic growth and maintain macroeconomic stability</w:t>
      </w:r>
      <w:r w:rsidR="00B85DE8">
        <w:rPr>
          <w:rFonts w:ascii="Garamond" w:hAnsi="Garamond"/>
        </w:rPr>
        <w:t>.</w:t>
      </w:r>
    </w:p>
    <w:p w14:paraId="3653D209" w14:textId="68B7E0DE" w:rsidR="00B315F0" w:rsidRPr="004C06AE" w:rsidRDefault="00B315F0" w:rsidP="0054120A">
      <w:pPr>
        <w:spacing w:after="160"/>
        <w:contextualSpacing/>
        <w:jc w:val="both"/>
        <w:rPr>
          <w:rFonts w:ascii="Garamond" w:hAnsi="Garamond"/>
        </w:rPr>
      </w:pPr>
    </w:p>
    <w:p w14:paraId="18902A66" w14:textId="03C13AAA" w:rsidR="000A725F" w:rsidRDefault="000A725F" w:rsidP="004E5D62">
      <w:pPr>
        <w:contextualSpacing/>
        <w:jc w:val="both"/>
        <w:rPr>
          <w:rFonts w:ascii="Garamond" w:hAnsi="Garamond"/>
        </w:rPr>
      </w:pPr>
      <w:r w:rsidRPr="004C06AE">
        <w:rPr>
          <w:rFonts w:ascii="Garamond" w:hAnsi="Garamond"/>
          <w:b/>
          <w:bCs/>
        </w:rPr>
        <w:t>Keywords:</w:t>
      </w:r>
      <w:r w:rsidRPr="004C06AE">
        <w:rPr>
          <w:rFonts w:ascii="Garamond" w:hAnsi="Garamond"/>
        </w:rPr>
        <w:t xml:space="preserve"> </w:t>
      </w:r>
      <w:r w:rsidR="00787076" w:rsidRPr="00951D67">
        <w:rPr>
          <w:rFonts w:ascii="Garamond" w:hAnsi="Garamond"/>
        </w:rPr>
        <w:t xml:space="preserve">military expenditure, economic growth, exchange rate, </w:t>
      </w:r>
      <w:proofErr w:type="spellStart"/>
      <w:r w:rsidR="006130B4" w:rsidRPr="00951D67">
        <w:rPr>
          <w:rFonts w:ascii="Garamond" w:hAnsi="Garamond"/>
        </w:rPr>
        <w:t>johansen</w:t>
      </w:r>
      <w:proofErr w:type="spellEnd"/>
      <w:r w:rsidR="006130B4" w:rsidRPr="00951D67">
        <w:rPr>
          <w:rFonts w:ascii="Garamond" w:hAnsi="Garamond"/>
        </w:rPr>
        <w:t xml:space="preserve"> </w:t>
      </w:r>
      <w:r w:rsidR="00787076" w:rsidRPr="00951D67">
        <w:rPr>
          <w:rFonts w:ascii="Garamond" w:hAnsi="Garamond"/>
        </w:rPr>
        <w:t>cointegration, granger causality</w:t>
      </w:r>
      <w:r w:rsidRPr="005E312F">
        <w:rPr>
          <w:rFonts w:ascii="Garamond" w:hAnsi="Garamond"/>
          <w:i/>
          <w:iCs/>
        </w:rPr>
        <w:t>.</w:t>
      </w:r>
    </w:p>
    <w:p w14:paraId="2F75934E" w14:textId="77777777" w:rsidR="003259C2" w:rsidRDefault="003259C2" w:rsidP="00601FD2">
      <w:pPr>
        <w:contextualSpacing/>
        <w:jc w:val="both"/>
        <w:rPr>
          <w:rFonts w:ascii="Garamond" w:hAnsi="Garamond"/>
          <w:b/>
          <w:bCs/>
        </w:rPr>
      </w:pPr>
    </w:p>
    <w:p w14:paraId="4E0719CB" w14:textId="77777777" w:rsidR="003259C2" w:rsidRDefault="003259C2" w:rsidP="00601FD2">
      <w:pPr>
        <w:contextualSpacing/>
        <w:jc w:val="both"/>
        <w:rPr>
          <w:rFonts w:ascii="Garamond" w:hAnsi="Garamond"/>
          <w:b/>
          <w:bCs/>
        </w:rPr>
      </w:pPr>
    </w:p>
    <w:p w14:paraId="392AEAD1" w14:textId="77777777" w:rsidR="009162A6" w:rsidRDefault="009162A6" w:rsidP="00601FD2">
      <w:pPr>
        <w:contextualSpacing/>
        <w:jc w:val="both"/>
        <w:rPr>
          <w:rFonts w:ascii="Garamond" w:hAnsi="Garamond"/>
          <w:b/>
          <w:bCs/>
        </w:rPr>
      </w:pPr>
    </w:p>
    <w:p w14:paraId="2F39B351" w14:textId="77777777" w:rsidR="009162A6" w:rsidRDefault="009162A6" w:rsidP="00601FD2">
      <w:pPr>
        <w:contextualSpacing/>
        <w:jc w:val="both"/>
        <w:rPr>
          <w:rFonts w:ascii="Garamond" w:hAnsi="Garamond"/>
          <w:b/>
          <w:bCs/>
        </w:rPr>
      </w:pPr>
    </w:p>
    <w:p w14:paraId="623361A0" w14:textId="77777777" w:rsidR="009162A6" w:rsidRDefault="009162A6" w:rsidP="00601FD2">
      <w:pPr>
        <w:contextualSpacing/>
        <w:jc w:val="both"/>
        <w:rPr>
          <w:rFonts w:ascii="Garamond" w:hAnsi="Garamond"/>
          <w:b/>
          <w:bCs/>
        </w:rPr>
      </w:pPr>
    </w:p>
    <w:p w14:paraId="58C42F49" w14:textId="77777777" w:rsidR="009162A6" w:rsidRDefault="009162A6" w:rsidP="00601FD2">
      <w:pPr>
        <w:contextualSpacing/>
        <w:jc w:val="both"/>
        <w:rPr>
          <w:rFonts w:ascii="Garamond" w:hAnsi="Garamond"/>
          <w:b/>
          <w:bCs/>
        </w:rPr>
      </w:pPr>
    </w:p>
    <w:p w14:paraId="18061B1A" w14:textId="77777777" w:rsidR="009162A6" w:rsidRDefault="009162A6" w:rsidP="00601FD2">
      <w:pPr>
        <w:contextualSpacing/>
        <w:jc w:val="both"/>
        <w:rPr>
          <w:rFonts w:ascii="Garamond" w:hAnsi="Garamond"/>
          <w:b/>
          <w:bCs/>
        </w:rPr>
      </w:pPr>
    </w:p>
    <w:p w14:paraId="6A259E8B" w14:textId="77777777" w:rsidR="009162A6" w:rsidRDefault="009162A6" w:rsidP="00601FD2">
      <w:pPr>
        <w:contextualSpacing/>
        <w:jc w:val="both"/>
        <w:rPr>
          <w:rFonts w:ascii="Garamond" w:hAnsi="Garamond"/>
          <w:b/>
          <w:bCs/>
        </w:rPr>
      </w:pPr>
    </w:p>
    <w:p w14:paraId="77CB9CB8" w14:textId="77777777" w:rsidR="009162A6" w:rsidRDefault="009162A6" w:rsidP="00601FD2">
      <w:pPr>
        <w:contextualSpacing/>
        <w:jc w:val="both"/>
        <w:rPr>
          <w:rFonts w:ascii="Garamond" w:hAnsi="Garamond"/>
          <w:b/>
          <w:bCs/>
        </w:rPr>
      </w:pPr>
    </w:p>
    <w:p w14:paraId="0D12CA53" w14:textId="77777777" w:rsidR="003259C2" w:rsidRDefault="003259C2" w:rsidP="00601FD2">
      <w:pPr>
        <w:contextualSpacing/>
        <w:jc w:val="both"/>
        <w:rPr>
          <w:rFonts w:ascii="Garamond" w:hAnsi="Garamond"/>
          <w:b/>
          <w:bCs/>
        </w:rPr>
      </w:pPr>
    </w:p>
    <w:p w14:paraId="07D9C8FA" w14:textId="77777777" w:rsidR="003259C2" w:rsidRDefault="003259C2" w:rsidP="00601FD2">
      <w:pPr>
        <w:contextualSpacing/>
        <w:jc w:val="both"/>
        <w:rPr>
          <w:rFonts w:ascii="Garamond" w:hAnsi="Garamond"/>
          <w:b/>
          <w:bCs/>
        </w:rPr>
      </w:pPr>
    </w:p>
    <w:p w14:paraId="1726E6E3" w14:textId="77777777" w:rsidR="003259C2" w:rsidRDefault="003259C2" w:rsidP="00601FD2">
      <w:pPr>
        <w:contextualSpacing/>
        <w:jc w:val="both"/>
        <w:rPr>
          <w:rFonts w:ascii="Garamond" w:hAnsi="Garamond"/>
          <w:b/>
          <w:bCs/>
        </w:rPr>
      </w:pPr>
    </w:p>
    <w:p w14:paraId="6A331A24" w14:textId="77777777" w:rsidR="003259C2" w:rsidRDefault="003259C2" w:rsidP="00601FD2">
      <w:pPr>
        <w:contextualSpacing/>
        <w:jc w:val="both"/>
        <w:rPr>
          <w:rFonts w:ascii="Garamond" w:hAnsi="Garamond"/>
          <w:b/>
          <w:bCs/>
        </w:rPr>
      </w:pPr>
    </w:p>
    <w:p w14:paraId="2DBC9AD7" w14:textId="77777777" w:rsidR="003259C2" w:rsidRDefault="003259C2" w:rsidP="00601FD2">
      <w:pPr>
        <w:contextualSpacing/>
        <w:jc w:val="both"/>
        <w:rPr>
          <w:rFonts w:ascii="Garamond" w:hAnsi="Garamond"/>
          <w:b/>
          <w:bCs/>
        </w:rPr>
      </w:pPr>
    </w:p>
    <w:p w14:paraId="33F1F9B9" w14:textId="77777777" w:rsidR="003259C2" w:rsidRDefault="003259C2" w:rsidP="00601FD2">
      <w:pPr>
        <w:contextualSpacing/>
        <w:jc w:val="both"/>
        <w:rPr>
          <w:rFonts w:ascii="Garamond" w:hAnsi="Garamond"/>
          <w:b/>
          <w:bCs/>
        </w:rPr>
      </w:pPr>
    </w:p>
    <w:p w14:paraId="30700890" w14:textId="77777777" w:rsidR="003259C2" w:rsidRDefault="003259C2" w:rsidP="00601FD2">
      <w:pPr>
        <w:contextualSpacing/>
        <w:jc w:val="both"/>
        <w:rPr>
          <w:rFonts w:ascii="Garamond" w:hAnsi="Garamond"/>
          <w:b/>
          <w:bCs/>
        </w:rPr>
      </w:pPr>
    </w:p>
    <w:p w14:paraId="46E11DB2" w14:textId="77777777" w:rsidR="003259C2" w:rsidRDefault="003259C2" w:rsidP="00601FD2">
      <w:pPr>
        <w:contextualSpacing/>
        <w:jc w:val="both"/>
        <w:rPr>
          <w:rFonts w:ascii="Garamond" w:hAnsi="Garamond"/>
          <w:b/>
          <w:bCs/>
        </w:rPr>
      </w:pPr>
    </w:p>
    <w:p w14:paraId="535A7018" w14:textId="77777777" w:rsidR="003259C2" w:rsidRDefault="003259C2" w:rsidP="00601FD2">
      <w:pPr>
        <w:contextualSpacing/>
        <w:jc w:val="both"/>
        <w:rPr>
          <w:rFonts w:ascii="Garamond" w:hAnsi="Garamond"/>
          <w:b/>
          <w:bCs/>
        </w:rPr>
      </w:pPr>
    </w:p>
    <w:p w14:paraId="28912FEC" w14:textId="73DCE3DE" w:rsidR="003259C2" w:rsidRPr="003259C2" w:rsidRDefault="003259C2" w:rsidP="003259C2">
      <w:pPr>
        <w:pStyle w:val="ListParagraph"/>
        <w:numPr>
          <w:ilvl w:val="0"/>
          <w:numId w:val="79"/>
        </w:numPr>
        <w:jc w:val="both"/>
        <w:rPr>
          <w:rFonts w:ascii="Garamond" w:hAnsi="Garamond"/>
        </w:rPr>
      </w:pPr>
      <w:r w:rsidRPr="003259C2">
        <w:rPr>
          <w:rFonts w:ascii="Garamond" w:hAnsi="Garamond"/>
          <w:b/>
          <w:bCs/>
        </w:rPr>
        <w:lastRenderedPageBreak/>
        <w:t>INTRODUCTION</w:t>
      </w:r>
    </w:p>
    <w:p w14:paraId="497528FB" w14:textId="7BC56F8A" w:rsidR="00DB29F3" w:rsidRDefault="003259C2" w:rsidP="00DB29F3">
      <w:pPr>
        <w:ind w:firstLine="360"/>
        <w:jc w:val="both"/>
        <w:rPr>
          <w:rFonts w:ascii="Garamond" w:hAnsi="Garamond"/>
        </w:rPr>
      </w:pPr>
      <w:r w:rsidRPr="003259C2">
        <w:rPr>
          <w:rFonts w:ascii="Garamond" w:hAnsi="Garamond"/>
        </w:rPr>
        <w:t xml:space="preserve">Military expenditure is a strategic instrument in national </w:t>
      </w:r>
      <w:proofErr w:type="spellStart"/>
      <w:r w:rsidRPr="003259C2">
        <w:rPr>
          <w:rFonts w:ascii="Garamond" w:hAnsi="Garamond"/>
        </w:rPr>
        <w:t>defense</w:t>
      </w:r>
      <w:proofErr w:type="spellEnd"/>
      <w:r w:rsidRPr="003259C2">
        <w:rPr>
          <w:rFonts w:ascii="Garamond" w:hAnsi="Garamond"/>
        </w:rPr>
        <w:t xml:space="preserve"> policy to maintain the sovereignty, security, and stability of the country, and as a component of fiscal policy that influences microeconomic stability. In Indonesia, the </w:t>
      </w:r>
      <w:proofErr w:type="spellStart"/>
      <w:r w:rsidRPr="003259C2">
        <w:rPr>
          <w:rFonts w:ascii="Garamond" w:hAnsi="Garamond"/>
        </w:rPr>
        <w:t>defense</w:t>
      </w:r>
      <w:proofErr w:type="spellEnd"/>
      <w:r w:rsidRPr="003259C2">
        <w:rPr>
          <w:rFonts w:ascii="Garamond" w:hAnsi="Garamond"/>
        </w:rPr>
        <w:t xml:space="preserve"> budget allocation has increased significantly from Rp42 trillion in 2010 to Rp135 trillion in 2024 </w:t>
      </w:r>
      <w:r>
        <w:rPr>
          <w:rFonts w:ascii="Garamond" w:hAnsi="Garamond"/>
        </w:rPr>
        <w:fldChar w:fldCharType="begin" w:fldLock="1"/>
      </w:r>
      <w:r w:rsidR="007F0A27">
        <w:rPr>
          <w:rFonts w:ascii="Garamond" w:hAnsi="Garamond"/>
        </w:rPr>
        <w:instrText>ADDIN CSL_CITATION {"citationItems":[{"id":"ITEM-1","itemData":{"abstract":"Pemerintah menyepakati penambahan anggaran Kementerian Pertahanan untuk periode 2020-2024 sebesar 20%, dari US$20,75 miliar menjadi US$25 miliar yang berasal dari pinjaman luar negeri. Penambahan anggaran ini ditujukan untuk pembelanjaan alutsista TNI oleh Kementerian Pertahanan. Keputusan ini menimbulkan diskursus publik, terutama mengenai prioritas dan transparansi atas penambahan anggaran pertahanan dalam jumlah yang signifikan. Tulisan ini menganalisis urgensi kenaikan anggaran Kementerian Pertahanan tahun 2024. Setidaknya ada tiga faktor utama yang mendorong keputusan pemerintah dalam penambahan anggaran belanja alutsista Kementerian Pertahanan. Pertama, pemenuhan target MEF tahun 2024. Kedua, komitmen keberlanjutan pembayaran pinjaman luar negeri terhadap pengadaan alutsista impor. Ketiga, respons terhadap dinamika geopolitik global. Penting bagi Komisi I DPR RI melalui fungsi pengawasan untuk mendorong transparansi penggunaan anggaran Kementerian Pertahanan terhadap sistem pengadaan alutsista TNI. Komisi I DPR RI juga dapat mendorong pembelian alutsista baru, serta mendorong maksimalisasi transfer of technology dalam skema kerja sama luar negeri.","author":[{"dropping-particle":"","family":"Aulia Fitri","given":"","non-dropping-particle":"","parse-names":false,"suffix":""}],"container-title":"Jurnal Info DPR RI","id":"ITEM-1","issue":"24","issued":{"date-parts":[["2024"]]},"page":"1-5","title":"The Urgency of Increasing the Defense Budget for 2024","type":"article-journal","volume":"XV"},"uris":["http://www.mendeley.com/documents/?uuid=39cd8101-a93d-4a50-90e2-3d3bb01438e4"]}],"mendeley":{"formattedCitation":"(Aulia Fitri, 2024)","plainTextFormattedCitation":"(Aulia Fitri, 2024)","previouslyFormattedCitation":"(Aulia Fitri, 2024)"},"properties":{"noteIndex":0},"schema":"https://github.com/citation-style-language/schema/raw/master/csl-citation.json"}</w:instrText>
      </w:r>
      <w:r>
        <w:rPr>
          <w:rFonts w:ascii="Garamond" w:hAnsi="Garamond"/>
        </w:rPr>
        <w:fldChar w:fldCharType="separate"/>
      </w:r>
      <w:r w:rsidRPr="003259C2">
        <w:rPr>
          <w:rFonts w:ascii="Garamond" w:hAnsi="Garamond"/>
          <w:noProof/>
        </w:rPr>
        <w:t>(Aulia Fitri, 2024)</w:t>
      </w:r>
      <w:r>
        <w:rPr>
          <w:rFonts w:ascii="Garamond" w:hAnsi="Garamond"/>
        </w:rPr>
        <w:fldChar w:fldCharType="end"/>
      </w:r>
      <w:r w:rsidRPr="003259C2">
        <w:rPr>
          <w:rFonts w:ascii="Garamond" w:hAnsi="Garamond"/>
        </w:rPr>
        <w:t xml:space="preserve">. The increase in budgetary allocations reflects the government's strategic commitment to strengthening national security and modernizing </w:t>
      </w:r>
      <w:proofErr w:type="spellStart"/>
      <w:r w:rsidRPr="003259C2">
        <w:rPr>
          <w:rFonts w:ascii="Garamond" w:hAnsi="Garamond"/>
        </w:rPr>
        <w:t>defense</w:t>
      </w:r>
      <w:proofErr w:type="spellEnd"/>
      <w:r w:rsidRPr="003259C2">
        <w:rPr>
          <w:rFonts w:ascii="Garamond" w:hAnsi="Garamond"/>
        </w:rPr>
        <w:t xml:space="preserve"> capabilities. This is pursued through the maintenance and repair of existing </w:t>
      </w:r>
      <w:proofErr w:type="spellStart"/>
      <w:r w:rsidRPr="003259C2">
        <w:rPr>
          <w:rFonts w:ascii="Garamond" w:hAnsi="Garamond"/>
        </w:rPr>
        <w:t>defense</w:t>
      </w:r>
      <w:proofErr w:type="spellEnd"/>
      <w:r w:rsidRPr="003259C2">
        <w:rPr>
          <w:rFonts w:ascii="Garamond" w:hAnsi="Garamond"/>
        </w:rPr>
        <w:t xml:space="preserve"> equipment, alongside the reinforcement of </w:t>
      </w:r>
      <w:proofErr w:type="spellStart"/>
      <w:r w:rsidRPr="003259C2">
        <w:rPr>
          <w:rFonts w:ascii="Garamond" w:hAnsi="Garamond"/>
        </w:rPr>
        <w:t>defense</w:t>
      </w:r>
      <w:proofErr w:type="spellEnd"/>
      <w:r w:rsidRPr="003259C2">
        <w:rPr>
          <w:rFonts w:ascii="Garamond" w:hAnsi="Garamond"/>
        </w:rPr>
        <w:t xml:space="preserve"> infrastructure in border regions, remote islands, and strategically significant maritime zones. Despite the increase in military budget allocation, its proportion to the gross domestic product (GDP) remains relatively low at an average of 0.7%, significantly below the 2%-3% of GDP standard recommended by NATO. </w:t>
      </w:r>
      <w:r w:rsidR="00752C74" w:rsidRPr="003259C2">
        <w:rPr>
          <w:rFonts w:ascii="Garamond" w:hAnsi="Garamond"/>
        </w:rPr>
        <w:t xml:space="preserve">This persistent gap </w:t>
      </w:r>
      <w:r w:rsidR="00752C74">
        <w:rPr>
          <w:rFonts w:ascii="Garamond" w:hAnsi="Garamond"/>
        </w:rPr>
        <w:t xml:space="preserve">reflects </w:t>
      </w:r>
      <w:r w:rsidR="00752C74" w:rsidRPr="003259C2">
        <w:rPr>
          <w:rFonts w:ascii="Garamond" w:hAnsi="Garamond"/>
        </w:rPr>
        <w:t>a structural policy dilemma</w:t>
      </w:r>
      <w:r w:rsidR="00752C74">
        <w:rPr>
          <w:rFonts w:ascii="Garamond" w:hAnsi="Garamond"/>
        </w:rPr>
        <w:t xml:space="preserve"> between modernization ambitions under the Minimum Essential </w:t>
      </w:r>
      <w:proofErr w:type="spellStart"/>
      <w:r w:rsidR="00752C74">
        <w:rPr>
          <w:rFonts w:ascii="Garamond" w:hAnsi="Garamond"/>
        </w:rPr>
        <w:t>Foces</w:t>
      </w:r>
      <w:proofErr w:type="spellEnd"/>
      <w:r w:rsidR="00752C74">
        <w:rPr>
          <w:rFonts w:ascii="Garamond" w:hAnsi="Garamond"/>
        </w:rPr>
        <w:t xml:space="preserve"> (MEF) framework and the government’s limited fiscal capacity.</w:t>
      </w:r>
    </w:p>
    <w:p w14:paraId="2C7D316E" w14:textId="77777777" w:rsidR="00DB29F3" w:rsidRDefault="00DB29F3" w:rsidP="00DB29F3">
      <w:pPr>
        <w:jc w:val="center"/>
        <w:rPr>
          <w:rFonts w:ascii="Garamond" w:hAnsi="Garamond"/>
        </w:rPr>
      </w:pPr>
      <w:r>
        <w:rPr>
          <w:noProof/>
        </w:rPr>
        <w:drawing>
          <wp:inline distT="0" distB="0" distL="0" distR="0" wp14:anchorId="3211B692" wp14:editId="6C95DA73">
            <wp:extent cx="5183505" cy="3286905"/>
            <wp:effectExtent l="0" t="0" r="17145" b="8890"/>
            <wp:docPr id="2" name="Chart 2">
              <a:extLst xmlns:a="http://schemas.openxmlformats.org/drawingml/2006/main">
                <a:ext uri="{FF2B5EF4-FFF2-40B4-BE49-F238E27FC236}">
                  <a16:creationId xmlns:a16="http://schemas.microsoft.com/office/drawing/2014/main" id="{CB540A99-D743-4AD3-8C73-FD24C8302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DE0E6B" w14:textId="77777777" w:rsidR="00DB29F3" w:rsidRPr="00492D4C" w:rsidRDefault="00DB29F3" w:rsidP="00DB29F3">
      <w:pPr>
        <w:spacing w:after="160"/>
        <w:contextualSpacing/>
        <w:jc w:val="center"/>
        <w:rPr>
          <w:rFonts w:ascii="Garamond" w:hAnsi="Garamond"/>
          <w:b/>
          <w:bCs/>
        </w:rPr>
      </w:pPr>
      <w:r w:rsidRPr="00492D4C">
        <w:rPr>
          <w:rFonts w:ascii="Garamond" w:hAnsi="Garamond"/>
          <w:b/>
          <w:bCs/>
        </w:rPr>
        <w:t xml:space="preserve">Figure 1. </w:t>
      </w:r>
      <w:r w:rsidRPr="0038723B">
        <w:rPr>
          <w:rFonts w:ascii="Garamond" w:hAnsi="Garamond"/>
          <w:b/>
          <w:bCs/>
        </w:rPr>
        <w:t>Real GDP and Real Military Expenditure for the period 2000 – 2023 (in Trillion Rupiah)</w:t>
      </w:r>
    </w:p>
    <w:p w14:paraId="3923C65A" w14:textId="4BEA5EB2" w:rsidR="00DB29F3" w:rsidRPr="00DB29F3" w:rsidRDefault="00DB29F3" w:rsidP="00DB29F3">
      <w:pPr>
        <w:spacing w:after="160"/>
        <w:contextualSpacing/>
        <w:rPr>
          <w:rFonts w:ascii="Garamond" w:hAnsi="Garamond"/>
          <w:b/>
          <w:bCs/>
        </w:rPr>
      </w:pPr>
      <w:r w:rsidRPr="00492D4C">
        <w:rPr>
          <w:rFonts w:ascii="Garamond" w:hAnsi="Garamond"/>
          <w:b/>
          <w:bCs/>
          <w:i/>
          <w:iCs/>
        </w:rPr>
        <w:t>Source:</w:t>
      </w:r>
      <w:r w:rsidRPr="00492D4C">
        <w:rPr>
          <w:rFonts w:ascii="Garamond" w:hAnsi="Garamond"/>
          <w:i/>
          <w:iCs/>
        </w:rPr>
        <w:t xml:space="preserve"> </w:t>
      </w:r>
      <w:r w:rsidRPr="0038723B">
        <w:rPr>
          <w:rFonts w:ascii="Garamond" w:hAnsi="Garamond"/>
          <w:i/>
          <w:iCs/>
        </w:rPr>
        <w:t>WDI (2025)</w:t>
      </w:r>
    </w:p>
    <w:p w14:paraId="00456A65" w14:textId="4A03F370" w:rsidR="00DB29F3" w:rsidRDefault="00DB29F3" w:rsidP="00DB29F3">
      <w:pPr>
        <w:ind w:firstLine="360"/>
        <w:jc w:val="both"/>
        <w:rPr>
          <w:rFonts w:ascii="Garamond" w:hAnsi="Garamond"/>
        </w:rPr>
      </w:pPr>
      <w:r>
        <w:rPr>
          <w:rFonts w:ascii="Garamond" w:hAnsi="Garamond"/>
        </w:rPr>
        <w:t>As illustrated</w:t>
      </w:r>
      <w:r w:rsidRPr="007678E8">
        <w:rPr>
          <w:rFonts w:ascii="Garamond" w:hAnsi="Garamond"/>
        </w:rPr>
        <w:t xml:space="preserve"> in Figure </w:t>
      </w:r>
      <w:r>
        <w:rPr>
          <w:rFonts w:ascii="Garamond" w:hAnsi="Garamond"/>
        </w:rPr>
        <w:t>1,</w:t>
      </w:r>
      <w:r w:rsidRPr="007678E8">
        <w:rPr>
          <w:rFonts w:ascii="Garamond" w:hAnsi="Garamond"/>
        </w:rPr>
        <w:t xml:space="preserve"> Indonesia’s real GDP and real military expenditure </w:t>
      </w:r>
      <w:r>
        <w:rPr>
          <w:rFonts w:ascii="Garamond" w:hAnsi="Garamond"/>
        </w:rPr>
        <w:t>exhibit</w:t>
      </w:r>
      <w:r w:rsidRPr="007678E8">
        <w:rPr>
          <w:rFonts w:ascii="Garamond" w:hAnsi="Garamond"/>
        </w:rPr>
        <w:t xml:space="preserve"> a strong co-directional </w:t>
      </w:r>
      <w:r>
        <w:rPr>
          <w:rFonts w:ascii="Garamond" w:hAnsi="Garamond"/>
        </w:rPr>
        <w:t>trend between</w:t>
      </w:r>
      <w:r w:rsidRPr="007678E8">
        <w:rPr>
          <w:rFonts w:ascii="Garamond" w:hAnsi="Garamond"/>
        </w:rPr>
        <w:t xml:space="preserve"> 2000</w:t>
      </w:r>
      <w:r>
        <w:rPr>
          <w:rFonts w:ascii="Garamond" w:hAnsi="Garamond"/>
        </w:rPr>
        <w:t xml:space="preserve"> and </w:t>
      </w:r>
      <w:r w:rsidRPr="007678E8">
        <w:rPr>
          <w:rFonts w:ascii="Garamond" w:hAnsi="Garamond"/>
        </w:rPr>
        <w:t xml:space="preserve">2023. Specifically, increases in national income are often accompanied by higher military expenditure. </w:t>
      </w:r>
      <w:r>
        <w:rPr>
          <w:rFonts w:ascii="Garamond" w:hAnsi="Garamond"/>
        </w:rPr>
        <w:t xml:space="preserve">During the early reform period (2000-2009), </w:t>
      </w:r>
      <w:proofErr w:type="spellStart"/>
      <w:r>
        <w:rPr>
          <w:rFonts w:ascii="Garamond" w:hAnsi="Garamond"/>
        </w:rPr>
        <w:t>defense</w:t>
      </w:r>
      <w:proofErr w:type="spellEnd"/>
      <w:r>
        <w:rPr>
          <w:rFonts w:ascii="Garamond" w:hAnsi="Garamond"/>
        </w:rPr>
        <w:t xml:space="preserve"> spending expanded more slowly than GDP, constrained by post-crisis fiscal consolidation. Acceleration began in 2010 following the Minimum Essential Forces (MEF) launch (2010-2014), which prioritized modernization and reduces reliance on imported arms. However, spending growth stabilized after 2016 and slightly declined during the COVID-19 pandemic, as resources were diverted toward health and social protection. This trajectory indicates a long-term positive association between </w:t>
      </w:r>
      <w:proofErr w:type="spellStart"/>
      <w:r>
        <w:rPr>
          <w:rFonts w:ascii="Garamond" w:hAnsi="Garamond"/>
        </w:rPr>
        <w:t>defense</w:t>
      </w:r>
      <w:proofErr w:type="spellEnd"/>
      <w:r>
        <w:rPr>
          <w:rFonts w:ascii="Garamond" w:hAnsi="Garamond"/>
        </w:rPr>
        <w:t xml:space="preserve"> spending and economic growth, consistent with Wagner’s Law, yet short-term fluctuations mirror fiscal and geopolitical conditions.</w:t>
      </w:r>
    </w:p>
    <w:p w14:paraId="7EBFDDED" w14:textId="0E59B12E" w:rsidR="00DB29F3" w:rsidRDefault="00DB29F3" w:rsidP="00DB29F3">
      <w:pPr>
        <w:ind w:firstLine="360"/>
        <w:jc w:val="both"/>
        <w:rPr>
          <w:rFonts w:ascii="Garamond" w:hAnsi="Garamond"/>
        </w:rPr>
      </w:pPr>
      <w:r w:rsidRPr="007678E8">
        <w:rPr>
          <w:rFonts w:ascii="Garamond" w:hAnsi="Garamond"/>
        </w:rPr>
        <w:t xml:space="preserve">The nexus between military expenditure and economic growth has emerged as a complex and widely debated topic in </w:t>
      </w:r>
      <w:proofErr w:type="spellStart"/>
      <w:r w:rsidRPr="007678E8">
        <w:rPr>
          <w:rFonts w:ascii="Garamond" w:hAnsi="Garamond"/>
        </w:rPr>
        <w:t>defense</w:t>
      </w:r>
      <w:proofErr w:type="spellEnd"/>
      <w:r w:rsidRPr="007678E8">
        <w:rPr>
          <w:rFonts w:ascii="Garamond" w:hAnsi="Garamond"/>
        </w:rPr>
        <w:t xml:space="preserve"> economics, framed primarily by two dominant theoretical perspectives. The Keynesian perspective views military expenditure as a fiscal instrument capable of stimulating aggregate demand, job creation, and technological innovation, and strengthening security and stability, thereby </w:t>
      </w:r>
      <w:r w:rsidRPr="007678E8">
        <w:rPr>
          <w:rFonts w:ascii="Garamond" w:hAnsi="Garamond"/>
        </w:rPr>
        <w:lastRenderedPageBreak/>
        <w:t xml:space="preserve">promoting economic growth </w:t>
      </w:r>
      <w:r>
        <w:rPr>
          <w:rFonts w:ascii="Garamond" w:hAnsi="Garamond"/>
        </w:rPr>
        <w:fldChar w:fldCharType="begin" w:fldLock="1"/>
      </w:r>
      <w:r>
        <w:rPr>
          <w:rFonts w:ascii="Garamond" w:hAnsi="Garamond"/>
        </w:rPr>
        <w:instrText>ADDIN CSL_CITATION {"citationItems":[{"id":"ITEM-1","itemData":{"abstract":"Perang ekonomi yang saat terjadi antara negara negara kuat seperti Amerika dan China berdampak luas ke berbagai negara termasuk Indonesia. Penelitian ini bertujuan meneliti bagaimana Pengaruh APBN, Produk Domestik Bruto dan Pertumbuhan Ekonomi, Terhadap Anggaran Pertahanan Tahun 2010-2020. Metode yang digunakan dalam penelitian ini adalah kuantitatif. Hasil penelitian menunjukkan bahwa Dari sisi pertumbuhan ekonomi, terdapat pertentangan baik dari hasil estimasi maupun teori., dimana berdasarkan hasl estimasi pertumbuhan ekonomi memiliki pengaruh negatif signifikan terhadap anggaran pertahanan. Aliran keynesian berpandangan bahwa meningkatnya pengeluaran pemerintah akan mendorong peningkatan permintaan berbagai barang dan jasa yang diproduksi perekonomian secara agregat sehingga mendorong pertumbuhanekonomi. Dengan kata lain, belanja negara termasuk di dalamnya belanja pertahanan menjadi salah satu alat kebijakan yang penting dan ideal digunakan oleh pemerintah dalam upaya menciptakan dan meningkatkan pertumbuhan ekonomi yang berkualitas","author":[{"dropping-particle":"","family":"Pandia","given":"Korinti Venesia","non-dropping-particle":"","parse-names":false,"suffix":""},{"dropping-particle":"","family":"Sutrasna","given":"Yudi","non-dropping-particle":"","parse-names":false,"suffix":""},{"dropping-particle":"","family":"Navalino","given":"Djoko Andreas","non-dropping-particle":"","parse-names":false,"suffix":""}],"container-title":"Jurnal Inovasi Penelitian","id":"ITEM-1","issue":"8","issued":{"date-parts":[["2022"]]},"page":"2769-2782","title":"THE EFFECT OF THE STATE BUDGET, GROSS DOMESTIC PRODUCT, AND ECONOMIC GROWTH ON THE DEFENSE BUDGET FOR THE 2010-2020 FISCAL YEAR","type":"article-journal","volume":"2"},"uris":["http://www.mendeley.com/documents/?uuid=49e2f3d4-e392-41aa-bc06-779b2cd6610c"]}],"mendeley":{"formattedCitation":"(Pandia et al., 2022)","plainTextFormattedCitation":"(Pandia et al., 2022)","previouslyFormattedCitation":"(Pandia et al., 2022)"},"properties":{"noteIndex":0},"schema":"https://github.com/citation-style-language/schema/raw/master/csl-citation.json"}</w:instrText>
      </w:r>
      <w:r>
        <w:rPr>
          <w:rFonts w:ascii="Garamond" w:hAnsi="Garamond"/>
        </w:rPr>
        <w:fldChar w:fldCharType="separate"/>
      </w:r>
      <w:r w:rsidRPr="007F0A27">
        <w:rPr>
          <w:rFonts w:ascii="Garamond" w:hAnsi="Garamond"/>
          <w:noProof/>
        </w:rPr>
        <w:t>(Pandia et al., 2022)</w:t>
      </w:r>
      <w:r>
        <w:rPr>
          <w:rFonts w:ascii="Garamond" w:hAnsi="Garamond"/>
        </w:rPr>
        <w:fldChar w:fldCharType="end"/>
      </w:r>
      <w:r w:rsidRPr="007678E8">
        <w:rPr>
          <w:rFonts w:ascii="Garamond" w:hAnsi="Garamond"/>
        </w:rPr>
        <w:t xml:space="preserve">. </w:t>
      </w:r>
      <w:r>
        <w:rPr>
          <w:rFonts w:ascii="Garamond" w:hAnsi="Garamond"/>
        </w:rPr>
        <w:t xml:space="preserve">In contrast, Wagner’s law posits that economic growth drives higher government spending, including </w:t>
      </w:r>
      <w:proofErr w:type="spellStart"/>
      <w:r>
        <w:rPr>
          <w:rFonts w:ascii="Garamond" w:hAnsi="Garamond"/>
        </w:rPr>
        <w:t>defense</w:t>
      </w:r>
      <w:proofErr w:type="spellEnd"/>
      <w:r>
        <w:rPr>
          <w:rFonts w:ascii="Garamond" w:hAnsi="Garamond"/>
        </w:rPr>
        <w:t xml:space="preserve">, as national income and complexity rise </w:t>
      </w:r>
      <w:r>
        <w:rPr>
          <w:rFonts w:ascii="Garamond" w:hAnsi="Garamond"/>
        </w:rPr>
        <w:fldChar w:fldCharType="begin" w:fldLock="1"/>
      </w:r>
      <w:r w:rsidR="00FD03BA">
        <w:rPr>
          <w:rFonts w:ascii="Garamond" w:hAnsi="Garamond"/>
        </w:rPr>
        <w:instrText>ADDIN CSL_CITATION {"citationItems":[{"id":"ITEM-1","itemData":{"DOI":"10.3390/math9182319","ISSN":"22277390","abstract":"Wagner Law and Keynesian approaches are the two fundamental theories of public finance. The aim of this study is to assess empirical evidence for the public spending–national income relationship at a disaggregated level for the time period 1995–2019. The sectoral public expenditures include education, health, and defense. The data employed were derived by EUROSTAT and OECD. Based on our findings, a sole relationship of the variables was validated, while the causality of the relationship provides conflict results depending on whether two-variate or multivariate methodology is employed. In the case of the multivariate framework that outperforms the two-variate approach in terms of information, the causality is directed from government expenses to the GDP level, validating the Keynesian approach in the long run as well as in the short run. On the other hand, the results validate Wagner Law based on the results of Granger causality pairwise test. A potential interpreatation for the results found is related to the measures imposed by the Memorandum, since the disproportionate cuts of the public expenses in the period of crisis have determined the evolution of national income. The scientific value of the presents study stands on the suggestion of potential effective measures aiming at the limitation of national income shrinkage in periods of severe economic crises worldwide.","author":[{"dropping-particle":"","family":"Efthalitsidou","given":"Kyriaki","non-dropping-particle":"","parse-names":false,"suffix":""},{"dropping-particle":"","family":"Zafeiriou","given":"Eleni","non-dropping-particle":"","parse-names":false,"suffix":""},{"dropping-particle":"","family":"Spinthiropoulos","given":"Konstantinos","non-dropping-particle":"","parse-names":false,"suffix":""},{"dropping-particle":"","family":"Betsas","given":"Ioannis","non-dropping-particle":"","parse-names":false,"suffix":""},{"dropping-particle":"","family":"Sariannidis","given":"Nikolaos","non-dropping-particle":"","parse-names":false,"suffix":""}],"container-title":"Mathematics","id":"ITEM-1","issue":"18","issued":{"date-parts":[["2021"]]},"page":"1-17","title":"GDP and public expenditure in education, health, and defense. Empirical research for Greece","type":"article-journal","volume":"9"},"uris":["http://www.mendeley.com/documents/?uuid=ca5800f0-7382-4fe6-b809-02e9eb3d234b"]}],"mendeley":{"formattedCitation":"(Efthalitsidou et al., 2021)","plainTextFormattedCitation":"(Efthalitsidou et al., 2021)","previouslyFormattedCitation":"(Efthalitsidou et al., 2021)"},"properties":{"noteIndex":0},"schema":"https://github.com/citation-style-language/schema/raw/master/csl-citation.json"}</w:instrText>
      </w:r>
      <w:r>
        <w:rPr>
          <w:rFonts w:ascii="Garamond" w:hAnsi="Garamond"/>
        </w:rPr>
        <w:fldChar w:fldCharType="separate"/>
      </w:r>
      <w:r w:rsidRPr="002415EA">
        <w:rPr>
          <w:rFonts w:ascii="Garamond" w:hAnsi="Garamond"/>
          <w:noProof/>
        </w:rPr>
        <w:t>(Efthalitsidou et al., 2021)</w:t>
      </w:r>
      <w:r>
        <w:rPr>
          <w:rFonts w:ascii="Garamond" w:hAnsi="Garamond"/>
        </w:rPr>
        <w:fldChar w:fldCharType="end"/>
      </w:r>
      <w:r>
        <w:rPr>
          <w:rFonts w:ascii="Garamond" w:hAnsi="Garamond"/>
        </w:rPr>
        <w:t xml:space="preserve">. </w:t>
      </w:r>
      <w:proofErr w:type="spellStart"/>
      <w:r>
        <w:rPr>
          <w:rFonts w:ascii="Garamond" w:hAnsi="Garamond"/>
        </w:rPr>
        <w:t>Beside</w:t>
      </w:r>
      <w:proofErr w:type="spellEnd"/>
      <w:r>
        <w:rPr>
          <w:rFonts w:ascii="Garamond" w:hAnsi="Garamond"/>
        </w:rPr>
        <w:t xml:space="preserve"> that, in the Mundell-Fleming framework extends this relationship by linking fiscal expansion to exchange-rate dynamics through interest rates and capital flows in open economy. These frameworks imply that the causal direction between military expenditure, economic growth, and exchange rates may </w:t>
      </w:r>
      <w:proofErr w:type="spellStart"/>
      <w:r>
        <w:rPr>
          <w:rFonts w:ascii="Garamond" w:hAnsi="Garamond"/>
        </w:rPr>
        <w:t>very</w:t>
      </w:r>
      <w:proofErr w:type="spellEnd"/>
      <w:r>
        <w:rPr>
          <w:rFonts w:ascii="Garamond" w:hAnsi="Garamond"/>
        </w:rPr>
        <w:t xml:space="preserve"> depending on macroeconomic context and fiscal policy structure.</w:t>
      </w:r>
    </w:p>
    <w:p w14:paraId="0411BD40" w14:textId="77777777" w:rsidR="00DB29F3" w:rsidRDefault="00DB29F3" w:rsidP="00DB29F3">
      <w:pPr>
        <w:ind w:firstLine="360"/>
        <w:jc w:val="both"/>
        <w:rPr>
          <w:rFonts w:ascii="Garamond" w:hAnsi="Garamond"/>
        </w:rPr>
      </w:pPr>
      <w:r>
        <w:rPr>
          <w:rFonts w:ascii="Garamond" w:hAnsi="Garamond"/>
        </w:rPr>
        <w:t xml:space="preserve">The Indonesia, case offers a compelling context to </w:t>
      </w:r>
      <w:proofErr w:type="spellStart"/>
      <w:r>
        <w:rPr>
          <w:rFonts w:ascii="Garamond" w:hAnsi="Garamond"/>
        </w:rPr>
        <w:t>evaluater</w:t>
      </w:r>
      <w:proofErr w:type="spellEnd"/>
      <w:r>
        <w:rPr>
          <w:rFonts w:ascii="Garamond" w:hAnsi="Garamond"/>
        </w:rPr>
        <w:t xml:space="preserve"> whether </w:t>
      </w:r>
      <w:proofErr w:type="spellStart"/>
      <w:r>
        <w:rPr>
          <w:rFonts w:ascii="Garamond" w:hAnsi="Garamond"/>
        </w:rPr>
        <w:t>defense</w:t>
      </w:r>
      <w:proofErr w:type="spellEnd"/>
      <w:r>
        <w:rPr>
          <w:rFonts w:ascii="Garamond" w:hAnsi="Garamond"/>
        </w:rPr>
        <w:t xml:space="preserve"> spending serves as an economic stimulus or a fiscal response. This study aims to fill that empirical gap by </w:t>
      </w:r>
      <w:proofErr w:type="spellStart"/>
      <w:r>
        <w:rPr>
          <w:rFonts w:ascii="Garamond" w:hAnsi="Garamond"/>
        </w:rPr>
        <w:t>analyzing</w:t>
      </w:r>
      <w:proofErr w:type="spellEnd"/>
      <w:r>
        <w:rPr>
          <w:rFonts w:ascii="Garamond" w:hAnsi="Garamond"/>
        </w:rPr>
        <w:t xml:space="preserve"> the long-term and causal relationships among military expenditure, economic growth, and the exchange rate from 2000-2023. Accordingly, this research seeks to answer three central question: (</w:t>
      </w:r>
      <w:proofErr w:type="spellStart"/>
      <w:r>
        <w:rPr>
          <w:rFonts w:ascii="Garamond" w:hAnsi="Garamond"/>
        </w:rPr>
        <w:t>i</w:t>
      </w:r>
      <w:proofErr w:type="spellEnd"/>
      <w:r>
        <w:rPr>
          <w:rFonts w:ascii="Garamond" w:hAnsi="Garamond"/>
        </w:rPr>
        <w:t xml:space="preserve">) does a long-term equilibrium relationship exist among military expenditure, economic growth, and exchange rate in Indonesia?, (ii) what is the direction of causality among these variables, does growth lead </w:t>
      </w:r>
      <w:proofErr w:type="spellStart"/>
      <w:r>
        <w:rPr>
          <w:rFonts w:ascii="Garamond" w:hAnsi="Garamond"/>
        </w:rPr>
        <w:t>defense</w:t>
      </w:r>
      <w:proofErr w:type="spellEnd"/>
      <w:r>
        <w:rPr>
          <w:rFonts w:ascii="Garamond" w:hAnsi="Garamond"/>
        </w:rPr>
        <w:t xml:space="preserve"> spending (Wagnerian hypothesis), or does </w:t>
      </w:r>
      <w:proofErr w:type="spellStart"/>
      <w:r>
        <w:rPr>
          <w:rFonts w:ascii="Garamond" w:hAnsi="Garamond"/>
        </w:rPr>
        <w:t>defense</w:t>
      </w:r>
      <w:proofErr w:type="spellEnd"/>
      <w:r>
        <w:rPr>
          <w:rFonts w:ascii="Garamond" w:hAnsi="Garamond"/>
        </w:rPr>
        <w:t xml:space="preserve"> spending stimulate growth (Keynesian hypothesis)?, (iii) how does military expenditure influence exchange-rate dynamics through fiscal or external channels?.</w:t>
      </w:r>
    </w:p>
    <w:p w14:paraId="2CF5E6EF" w14:textId="266888F9" w:rsidR="00DB29F3" w:rsidRDefault="00DB29F3" w:rsidP="00DB29F3">
      <w:pPr>
        <w:ind w:firstLine="360"/>
        <w:jc w:val="both"/>
        <w:rPr>
          <w:rFonts w:ascii="Garamond" w:hAnsi="Garamond"/>
        </w:rPr>
      </w:pPr>
      <w:r>
        <w:rPr>
          <w:rFonts w:ascii="Garamond" w:hAnsi="Garamond"/>
        </w:rPr>
        <w:t xml:space="preserve">By addressing these questions, the study contributes to the growing literature on </w:t>
      </w:r>
      <w:proofErr w:type="spellStart"/>
      <w:r>
        <w:rPr>
          <w:rFonts w:ascii="Garamond" w:hAnsi="Garamond"/>
        </w:rPr>
        <w:t>defense</w:t>
      </w:r>
      <w:proofErr w:type="spellEnd"/>
      <w:r>
        <w:rPr>
          <w:rFonts w:ascii="Garamond" w:hAnsi="Garamond"/>
        </w:rPr>
        <w:t xml:space="preserve"> economics by providing empirical evidence from major Southeast Asian economy, emphasizing how fiscal and external dynamics shape the </w:t>
      </w:r>
      <w:proofErr w:type="spellStart"/>
      <w:r>
        <w:rPr>
          <w:rFonts w:ascii="Garamond" w:hAnsi="Garamond"/>
        </w:rPr>
        <w:t>defense</w:t>
      </w:r>
      <w:proofErr w:type="spellEnd"/>
      <w:r>
        <w:rPr>
          <w:rFonts w:ascii="Garamond" w:hAnsi="Garamond"/>
        </w:rPr>
        <w:t>-growth nexus.</w:t>
      </w:r>
    </w:p>
    <w:p w14:paraId="0A689CD4" w14:textId="77777777" w:rsidR="00DB29F3" w:rsidRDefault="00DB29F3" w:rsidP="003865F2">
      <w:pPr>
        <w:jc w:val="both"/>
        <w:rPr>
          <w:rFonts w:ascii="Garamond" w:hAnsi="Garamond"/>
        </w:rPr>
      </w:pPr>
    </w:p>
    <w:p w14:paraId="37174CAD" w14:textId="6AA3E252" w:rsidR="00DB29F3" w:rsidRPr="00DB29F3" w:rsidRDefault="00DB29F3" w:rsidP="00DB29F3">
      <w:pPr>
        <w:pStyle w:val="ListParagraph"/>
        <w:numPr>
          <w:ilvl w:val="0"/>
          <w:numId w:val="79"/>
        </w:numPr>
        <w:jc w:val="both"/>
        <w:rPr>
          <w:rFonts w:ascii="Garamond" w:hAnsi="Garamond"/>
          <w:b/>
          <w:bCs/>
        </w:rPr>
      </w:pPr>
      <w:r w:rsidRPr="00DB29F3">
        <w:rPr>
          <w:rFonts w:ascii="Garamond" w:hAnsi="Garamond"/>
          <w:b/>
          <w:bCs/>
        </w:rPr>
        <w:t>LITERATUR REVIEW</w:t>
      </w:r>
    </w:p>
    <w:p w14:paraId="1350FE63" w14:textId="77777777" w:rsidR="00DB29F3" w:rsidRDefault="00DB29F3" w:rsidP="00DB29F3">
      <w:pPr>
        <w:ind w:firstLine="360"/>
        <w:jc w:val="both"/>
        <w:rPr>
          <w:rFonts w:ascii="Garamond" w:hAnsi="Garamond"/>
        </w:rPr>
      </w:pPr>
      <w:r w:rsidRPr="007678E8">
        <w:rPr>
          <w:rFonts w:ascii="Garamond" w:hAnsi="Garamond"/>
        </w:rPr>
        <w:t xml:space="preserve">Numerous previous studies have reported divergent findings regarding the economic effects of military expenditure. Some demonstrate a positive impact of military expenditure on economic growth, particularly within the context of national security and investment climate </w:t>
      </w:r>
      <w:r>
        <w:rPr>
          <w:rFonts w:ascii="Garamond" w:hAnsi="Garamond"/>
        </w:rPr>
        <w:fldChar w:fldCharType="begin" w:fldLock="1"/>
      </w:r>
      <w:r>
        <w:rPr>
          <w:rFonts w:ascii="Garamond" w:hAnsi="Garamond"/>
        </w:rPr>
        <w:instrText>ADDIN CSL_CITATION {"citationItems":[{"id":"ITEM-1","itemData":{"DOI":"10.1007/s11135-019-00910-9","ISBN":"0123456789","ISSN":"15737845","abstract":"This paper examines the correlation between public policies in the field of military expenditures and economic growth in Romania. The research is built upon the vast literature focused on the field of public policies and economic growth. Whereas economic growth became one of the most dynamic areas in economics, this correlation will consider the determinants of the real sector development through economic phenomenon modeling. The impact of military expenditures on growth is analysed for Romania, using annual data over the period 1991–2016. The research methodology employed is the Granger causality test. The empirical results reveal that there is a bidirectional relationship between military expenditure and GDP over the long run, with a positive effect described by both relationships through several models exemplified in the analysis. From the economic point of view, these results highlight the impact of military expenditures, generating different positive effects on labor, capital, economic growth and efficient use of resources in the economic sector, at the national level.","author":[{"dropping-particle":"","family":"Lobont","given":"Oana Ramona","non-dropping-particle":"","parse-names":false,"suffix":""},{"dropping-particle":"","family":"Glont","given":"Oana Ramona","non-dropping-particle":"","parse-names":false,"suffix":""},{"dropping-particle":"","family":"Badea","given":"Leonardo","non-dropping-particle":"","parse-names":false,"suffix":""},{"dropping-particle":"","family":"Vatavu","given":"Sorana","non-dropping-particle":"","parse-names":false,"suffix":""}],"container-title":"Quality and Quantity","id":"ITEM-1","issue":"6","issued":{"date-parts":[["2019"]]},"page":"2957-2968","publisher":"Springer Netherlands","title":"Correlation of military expenditures and economic growth: lessons for Romania","type":"article-journal","volume":"53"},"uris":["http://www.mendeley.com/documents/?uuid=d9a451ef-6aa9-4b11-9e2d-f2df97801218"]},{"id":"ITEM-2","itemData":{"author":[{"dropping-particle":"","family":"Selvanathan","given":"Saroja","non-dropping-particle":"","parse-names":false,"suffix":""},{"dropping-particle":"","family":"Selvanathan","given":"Eliyathamby A","non-dropping-particle":"","parse-names":false,"suffix":""}],"container-title":"International Journal of Development and Conflict","id":"ITEM-2","issued":{"date-parts":[["2014"]]},"page":"69-76","title":"Defence expenditure and economic growth: a case study of sri lanka using causality analysis","type":"article-journal","volume":"4"},"uris":["http://www.mendeley.com/documents/?uuid=ad105303-24da-4601-9309-218691508271"]}],"mendeley":{"formattedCitation":"(Lobont et al., 2019; Selvanathan &amp; Selvanathan, 2014)","plainTextFormattedCitation":"(Lobont et al., 2019; Selvanathan &amp; Selvanathan, 2014)","previouslyFormattedCitation":"(Lobont et al., 2019; Selvanathan &amp; Selvanathan, 2014)"},"properties":{"noteIndex":0},"schema":"https://github.com/citation-style-language/schema/raw/master/csl-citation.json"}</w:instrText>
      </w:r>
      <w:r>
        <w:rPr>
          <w:rFonts w:ascii="Garamond" w:hAnsi="Garamond"/>
        </w:rPr>
        <w:fldChar w:fldCharType="separate"/>
      </w:r>
      <w:r w:rsidRPr="007F0A27">
        <w:rPr>
          <w:rFonts w:ascii="Garamond" w:hAnsi="Garamond"/>
          <w:noProof/>
        </w:rPr>
        <w:t>(Lobont et al., 2019; Selvanathan &amp; Selvanathan, 2014)</w:t>
      </w:r>
      <w:r>
        <w:rPr>
          <w:rFonts w:ascii="Garamond" w:hAnsi="Garamond"/>
        </w:rPr>
        <w:fldChar w:fldCharType="end"/>
      </w:r>
      <w:r w:rsidRPr="007678E8">
        <w:rPr>
          <w:rFonts w:ascii="Garamond" w:hAnsi="Garamond"/>
        </w:rPr>
        <w:t xml:space="preserve">. The government regime factor also influences the effectiveness of military expenditure in promoting growth through </w:t>
      </w:r>
      <w:proofErr w:type="spellStart"/>
      <w:r w:rsidRPr="007678E8">
        <w:rPr>
          <w:rFonts w:ascii="Garamond" w:hAnsi="Garamond"/>
        </w:rPr>
        <w:t>defense</w:t>
      </w:r>
      <w:proofErr w:type="spellEnd"/>
      <w:r w:rsidRPr="007678E8">
        <w:rPr>
          <w:rFonts w:ascii="Garamond" w:hAnsi="Garamond"/>
        </w:rPr>
        <w:t xml:space="preserve"> industry capacity building and aggregate demand </w:t>
      </w:r>
      <w:r>
        <w:rPr>
          <w:rFonts w:ascii="Garamond" w:hAnsi="Garamond"/>
        </w:rPr>
        <w:fldChar w:fldCharType="begin" w:fldLock="1"/>
      </w:r>
      <w:r>
        <w:rPr>
          <w:rFonts w:ascii="Garamond" w:hAnsi="Garamond"/>
        </w:rPr>
        <w:instrText>ADDIN CSL_CITATION {"citationItems":[{"id":"ITEM-1","itemData":{"abstract":"This study aims to determine and analyze the causality between defense spending and economic growth in Indonesia. Data analysis used is descriptive analysis and inductive analysis. In the inductive analysis using the VAR approach, there are several tests, namely: (1) Test Stationaryity; (2) Cointegration Test; (3) Optimal Lag Determination; (4) Granger Causality Test; (5) Impulse Response Function; (6) Variance Decomposition. Research results show that: There is no causal relationship between defense spending and economic growth in Indonesia. However, there is a direct relationship of defense spending to economic growth. Keywords","author":[{"dropping-particle":"","family":"Putra","given":"Bayu Rahmadi","non-dropping-particle":"","parse-names":false,"suffix":""},{"dropping-particle":"","family":"Yeniwati","given":"","non-dropping-particle":"","parse-names":false,"suffix":""},{"dropping-particle":"","family":"Adry","given":"Roza Melti","non-dropping-particle":"","parse-names":false,"suffix":""}],"container-title":"Jurnal Ecosains,","id":"ITEM-1","issue":"2","issued":{"date-parts":[["2019"]]},"page":"177-184","title":"Causality Analysis of Defense Spending and Economic Growth in Indonesia","type":"article-journal","volume":"8"},"uris":["http://www.mendeley.com/documents/?uuid=108d7420-7ca2-4482-9c4c-547ec57785ba"]}],"mendeley":{"formattedCitation":"(Putra et al., 2019)","plainTextFormattedCitation":"(Putra et al., 2019)","previouslyFormattedCitation":"(Putra et al., 2019)"},"properties":{"noteIndex":0},"schema":"https://github.com/citation-style-language/schema/raw/master/csl-citation.json"}</w:instrText>
      </w:r>
      <w:r>
        <w:rPr>
          <w:rFonts w:ascii="Garamond" w:hAnsi="Garamond"/>
        </w:rPr>
        <w:fldChar w:fldCharType="separate"/>
      </w:r>
      <w:r w:rsidRPr="007F0A27">
        <w:rPr>
          <w:rFonts w:ascii="Garamond" w:hAnsi="Garamond"/>
          <w:noProof/>
        </w:rPr>
        <w:t>(Putra et al., 2019)</w:t>
      </w:r>
      <w:r>
        <w:rPr>
          <w:rFonts w:ascii="Garamond" w:hAnsi="Garamond"/>
        </w:rPr>
        <w:fldChar w:fldCharType="end"/>
      </w:r>
      <w:r w:rsidRPr="007678E8">
        <w:rPr>
          <w:rFonts w:ascii="Garamond" w:hAnsi="Garamond"/>
        </w:rPr>
        <w:t xml:space="preserve">. The study </w:t>
      </w:r>
      <w:r>
        <w:rPr>
          <w:rFonts w:ascii="Garamond" w:hAnsi="Garamond"/>
        </w:rPr>
        <w:fldChar w:fldCharType="begin" w:fldLock="1"/>
      </w:r>
      <w:r>
        <w:rPr>
          <w:rFonts w:ascii="Garamond" w:hAnsi="Garamond"/>
        </w:rPr>
        <w:instrText>ADDIN CSL_CITATION {"citationItems":[{"id":"ITEM-1","itemData":{"ISSN":"15784487","abstract":"This study aims to provide an analysis of military expenditure, political stability, and the total of the workforce on economic growth through the GDP during the COVID-19 pandemic. Cross-section data for 40 countries with upper-to-middle income levels was used to analyze the evolution for the periods 2010-2019 and 2019-2020. For the period 2010-2019, there was a general decrease in the percentage of Gross Domestic Product devoted to Military Expenditure, but the real value per capita increased in many countries, due to the effect of the increase of real production per capita. In the year 2020 the Pandemic diminished the real value of Military Expenditure in a few countries. Military expenditure, as well other components of Public Expenditure, and the total Labor Force/Workforces for 40 developing countries with upper-to-middle-income levels have shown a positive and significant impact on the value of GDP, which means that they encourage economic growth during the COVID-19 pandemic.","author":[{"dropping-particle":"","family":"Susilo","given":"A. K.","non-dropping-particle":"","parse-names":false,"suffix":""},{"dropping-particle":"","family":"Sari","given":"Dyah Wulan","non-dropping-particle":"","parse-names":false,"suffix":""},{"dropping-particle":"","family":"Putra","given":"I. Nengah","non-dropping-particle":"","parse-names":false,"suffix":""},{"dropping-particle":"","family":"Pratiwi","given":"N. A.","non-dropping-particle":"","parse-names":false,"suffix":""}],"container-title":"Applied Econometrics and International Development","id":"ITEM-1","issue":"1","issued":{"date-parts":[["2022"]]},"page":"19-38","title":"Economic Growth and Military Expenditure in Developing Countries During Covid-19 Pandemic","type":"article-journal","volume":"22"},"uris":["http://www.mendeley.com/documents/?uuid=3ae54457-5844-4a10-a010-a2dfc2a901a5"]}],"mendeley":{"formattedCitation":"(Susilo et al., 2022)","plainTextFormattedCitation":"(Susilo et al., 2022)","previouslyFormattedCitation":"(Susilo et al., 2022)"},"properties":{"noteIndex":0},"schema":"https://github.com/citation-style-language/schema/raw/master/csl-citation.json"}</w:instrText>
      </w:r>
      <w:r>
        <w:rPr>
          <w:rFonts w:ascii="Garamond" w:hAnsi="Garamond"/>
        </w:rPr>
        <w:fldChar w:fldCharType="separate"/>
      </w:r>
      <w:r w:rsidRPr="007F0A27">
        <w:rPr>
          <w:rFonts w:ascii="Garamond" w:hAnsi="Garamond"/>
          <w:noProof/>
        </w:rPr>
        <w:t>(Susilo et al., 2022)</w:t>
      </w:r>
      <w:r>
        <w:rPr>
          <w:rFonts w:ascii="Garamond" w:hAnsi="Garamond"/>
        </w:rPr>
        <w:fldChar w:fldCharType="end"/>
      </w:r>
      <w:r w:rsidRPr="007678E8">
        <w:rPr>
          <w:rFonts w:ascii="Garamond" w:hAnsi="Garamond"/>
        </w:rPr>
        <w:t xml:space="preserve"> also confirms the positive role of military expenditure on GDP during the pandemic, along with fixed capital formation and </w:t>
      </w:r>
      <w:proofErr w:type="spellStart"/>
      <w:r w:rsidRPr="007678E8">
        <w:rPr>
          <w:rFonts w:ascii="Garamond" w:hAnsi="Garamond"/>
        </w:rPr>
        <w:t>labor</w:t>
      </w:r>
      <w:proofErr w:type="spellEnd"/>
      <w:r w:rsidRPr="007678E8">
        <w:rPr>
          <w:rFonts w:ascii="Garamond" w:hAnsi="Garamond"/>
        </w:rPr>
        <w:t xml:space="preserve"> as the main supporting factors. This indicates the importance of adapting government spending policies in facing crises.</w:t>
      </w:r>
    </w:p>
    <w:p w14:paraId="345EF6B4" w14:textId="655B5642" w:rsidR="00DB29F3" w:rsidRDefault="00DB29F3" w:rsidP="000F3E03">
      <w:pPr>
        <w:ind w:firstLine="360"/>
        <w:jc w:val="both"/>
        <w:rPr>
          <w:rFonts w:ascii="Garamond" w:hAnsi="Garamond"/>
        </w:rPr>
      </w:pPr>
      <w:r w:rsidRPr="007678E8">
        <w:rPr>
          <w:rFonts w:ascii="Garamond" w:hAnsi="Garamond"/>
        </w:rPr>
        <w:t xml:space="preserve">However, </w:t>
      </w:r>
      <w:r w:rsidR="000F3E03">
        <w:rPr>
          <w:rFonts w:ascii="Garamond" w:hAnsi="Garamond"/>
        </w:rPr>
        <w:t>several</w:t>
      </w:r>
      <w:r w:rsidRPr="007678E8">
        <w:rPr>
          <w:rFonts w:ascii="Garamond" w:hAnsi="Garamond"/>
        </w:rPr>
        <w:t xml:space="preserve"> studies </w:t>
      </w:r>
      <w:r w:rsidR="000F3E03">
        <w:rPr>
          <w:rFonts w:ascii="Garamond" w:hAnsi="Garamond"/>
        </w:rPr>
        <w:t xml:space="preserve">argue </w:t>
      </w:r>
      <w:r w:rsidRPr="007678E8">
        <w:rPr>
          <w:rFonts w:ascii="Garamond" w:hAnsi="Garamond"/>
        </w:rPr>
        <w:t xml:space="preserve">that military expenditure may hinder economic growth, particularly when it </w:t>
      </w:r>
      <w:r w:rsidR="000F3E03">
        <w:rPr>
          <w:rFonts w:ascii="Garamond" w:hAnsi="Garamond"/>
        </w:rPr>
        <w:t xml:space="preserve">represents </w:t>
      </w:r>
      <w:r w:rsidRPr="007678E8">
        <w:rPr>
          <w:rFonts w:ascii="Garamond" w:hAnsi="Garamond"/>
        </w:rPr>
        <w:t xml:space="preserve">unproductive government consumption or is allocated inefficiently </w:t>
      </w:r>
      <w:r>
        <w:rPr>
          <w:rFonts w:ascii="Garamond" w:hAnsi="Garamond"/>
        </w:rPr>
        <w:fldChar w:fldCharType="begin" w:fldLock="1"/>
      </w:r>
      <w:r>
        <w:rPr>
          <w:rFonts w:ascii="Garamond" w:hAnsi="Garamond"/>
        </w:rPr>
        <w:instrText>ADDIN CSL_CITATION {"citationItems":[{"id":"ITEM-1","itemData":{"DOI":"10.1016/j.heliyon.2020.e05853","ISSN":"24058440","abstract":"Military spending; Economic growth; Non-OECD countries; Balanced panel data.","author":[{"dropping-particle":"","family":"Azam","given":"Muhammad","non-dropping-particle":"","parse-names":false,"suffix":""}],"container-title":"Heliyon","id":"ITEM-1","issue":"12","issued":{"date-parts":[["2020"]]},"publisher":"Elsevier Ltd","title":"Does military spending stifle economic growth? The empirical evidence from non-OECD countries","type":"article-journal","volume":"6"},"uris":["http://www.mendeley.com/documents/?uuid=a0f58bac-4b32-4ea3-9586-5bae6da85893"]},{"id":"ITEM-2","itemData":{"DOI":"10.1080/10242694.2012.710813","ISSN":"10242694","abstract":"The effect of military expenditure on economic growth in developing countries has been investigated by many empirical literatures. However, there is little consensus of that effect and the diversity seems to come from the use of different models and different estimators. This article applies the Augmented Solow Growth Model to examine the influence of military expenditure on economic growth for 35 developing countries over the period of 1975-2009. By using the system Generalized Method of Moments (GMM) estimators, empirical results indicate that defence has a negative and significant effect on economic growth in the sample countries. © 2013 Copyright Taylor and Francis Group, LLC.","author":[{"dropping-particle":"","family":"Hou","given":"Na","non-dropping-particle":"","parse-names":false,"suffix":""},{"dropping-particle":"","family":"Chen","given":"Bo","non-dropping-particle":"","parse-names":false,"suffix":""}],"container-title":"Defence and Peace Economics","id":"ITEM-2","issue":"3","issued":{"date-parts":[["2013"]]},"page":"183-193","title":"Military expenditure and economic growth in developing countries: Evidence from system gmm estimates","type":"article-journal","volume":"24"},"uris":["http://www.mendeley.com/documents/?uuid=e2c64401-d155-413c-98f4-4b8e36cde8bd"]}],"mendeley":{"formattedCitation":"(Azam, 2020; Hou &amp; Chen, 2013)","plainTextFormattedCitation":"(Azam, 2020; Hou &amp; Chen, 2013)","previouslyFormattedCitation":"(Azam, 2020; Hou &amp; Chen, 2013)"},"properties":{"noteIndex":0},"schema":"https://github.com/citation-style-language/schema/raw/master/csl-citation.json"}</w:instrText>
      </w:r>
      <w:r>
        <w:rPr>
          <w:rFonts w:ascii="Garamond" w:hAnsi="Garamond"/>
        </w:rPr>
        <w:fldChar w:fldCharType="separate"/>
      </w:r>
      <w:r w:rsidRPr="009C1865">
        <w:rPr>
          <w:rFonts w:ascii="Garamond" w:hAnsi="Garamond"/>
          <w:noProof/>
        </w:rPr>
        <w:t>(Azam, 2020; Hou &amp; Chen, 2013)</w:t>
      </w:r>
      <w:r>
        <w:rPr>
          <w:rFonts w:ascii="Garamond" w:hAnsi="Garamond"/>
        </w:rPr>
        <w:fldChar w:fldCharType="end"/>
      </w:r>
      <w:r w:rsidRPr="007678E8">
        <w:rPr>
          <w:rFonts w:ascii="Garamond" w:hAnsi="Garamond"/>
        </w:rPr>
        <w:t xml:space="preserve">. </w:t>
      </w:r>
      <w:r w:rsidR="000F3E03">
        <w:rPr>
          <w:rFonts w:ascii="Garamond" w:hAnsi="Garamond"/>
        </w:rPr>
        <w:t>E</w:t>
      </w:r>
      <w:r w:rsidR="000F3E03" w:rsidRPr="000F3E03">
        <w:rPr>
          <w:rFonts w:ascii="Garamond" w:hAnsi="Garamond"/>
        </w:rPr>
        <w:t xml:space="preserve">xcessive military expenditure may divert resources from productive sectors such as education, health, and infrastructure, thereby weakening long-term growth potential </w:t>
      </w:r>
      <w:r w:rsidR="000F3E03" w:rsidRPr="000F3E03">
        <w:rPr>
          <w:rFonts w:ascii="Garamond" w:hAnsi="Garamond"/>
        </w:rPr>
        <w:fldChar w:fldCharType="begin" w:fldLock="1"/>
      </w:r>
      <w:r w:rsidR="000F3E03" w:rsidRPr="000F3E03">
        <w:rPr>
          <w:rFonts w:ascii="Garamond" w:hAnsi="Garamond"/>
        </w:rPr>
        <w:instrText>ADDIN CSL_CITATION {"citationItems":[{"id":"ITEM-1","itemData":{"DOI":"10.1111/rode.12268","ISSN":"14679361","abstract":"The relationship and interaction of military spending and economic growth have been theoretically and empirically investigated since the 1970s but it still cannot provide conclusive evidence towards the direction and the quantification of the impact between the two magnitudes. The use of different data sets in terms of time periods, and number and geographic location of countries, different theoretical background leading to different econometric specifications, and single type of econometric methodology, make any comparison impossible. This paper looks into the dynamic interaction between military spending and economic growth during the period 1988–2013 that includes the recent years of economic crisis covering 138 countries without making any prior assumptions about the theoretical channels of influence, while not limited to a single estimation method but employing a wide range of methodologies in order to form a complete picture of the long- and short-run interaction. Furthermore, as such interaction might not be linear, we create three groups of countries based on the countries' income developmental stage. Overall we find no evidence of long- and short-run causality from the military spending to economic growth except for the developing countries (positive in the long run). However, from economic growth to military spending we find a positive impact for all groups except the least developed countries. We also notice the interaction was more prominent prior to the start of the economic crisis.","author":[{"dropping-particle":"","family":"Desli","given":"E.","non-dropping-particle":"","parse-names":false,"suffix":""},{"dropping-particle":"","family":"Gkoulgkoutsika","given":"A.","non-dropping-particle":"","parse-names":false,"suffix":""},{"dropping-particle":"","family":"Katrakilidis","given":"C.","non-dropping-particle":"","parse-names":false,"suffix":""}],"container-title":"Review of Development Economics","id":"ITEM-1","issue":"3","issued":{"date-parts":[["2017"]]},"page":"511-526","title":"Investigating the Dynamic Interaction between Military Spending and Economic Growth","type":"article-journal","volume":"21"},"uris":["http://www.mendeley.com/documents/?uuid=37c66876-0321-47d4-8cc8-869b88c7b053"]}],"mendeley":{"formattedCitation":"(Desli et al., 2017)","plainTextFormattedCitation":"(Desli et al., 2017)","previouslyFormattedCitation":"(Desli et al., 2017)"},"properties":{"noteIndex":0},"schema":"https://github.com/citation-style-language/schema/raw/master/csl-citation.json"}</w:instrText>
      </w:r>
      <w:r w:rsidR="000F3E03" w:rsidRPr="000F3E03">
        <w:rPr>
          <w:rFonts w:ascii="Garamond" w:hAnsi="Garamond"/>
        </w:rPr>
        <w:fldChar w:fldCharType="separate"/>
      </w:r>
      <w:r w:rsidR="000F3E03" w:rsidRPr="000F3E03">
        <w:rPr>
          <w:rFonts w:ascii="Garamond" w:hAnsi="Garamond"/>
          <w:noProof/>
        </w:rPr>
        <w:t>(Desli et al., 2017)</w:t>
      </w:r>
      <w:r w:rsidR="000F3E03" w:rsidRPr="000F3E03">
        <w:rPr>
          <w:rFonts w:ascii="Garamond" w:hAnsi="Garamond"/>
        </w:rPr>
        <w:fldChar w:fldCharType="end"/>
      </w:r>
      <w:r w:rsidR="000F3E03" w:rsidRPr="000F3E03">
        <w:rPr>
          <w:rFonts w:ascii="Garamond" w:hAnsi="Garamond"/>
        </w:rPr>
        <w:t>.</w:t>
      </w:r>
      <w:r w:rsidR="000F3E03">
        <w:rPr>
          <w:rFonts w:ascii="Garamond" w:hAnsi="Garamond"/>
        </w:rPr>
        <w:t xml:space="preserve"> </w:t>
      </w:r>
      <w:r w:rsidRPr="007678E8">
        <w:rPr>
          <w:rFonts w:ascii="Garamond" w:hAnsi="Garamond"/>
        </w:rPr>
        <w:t xml:space="preserve">Similar findings by </w:t>
      </w:r>
      <w:r>
        <w:rPr>
          <w:rFonts w:ascii="Garamond" w:hAnsi="Garamond"/>
        </w:rPr>
        <w:fldChar w:fldCharType="begin" w:fldLock="1"/>
      </w:r>
      <w:r>
        <w:rPr>
          <w:rFonts w:ascii="Garamond" w:hAnsi="Garamond"/>
        </w:rPr>
        <w:instrText>ADDIN CSL_CITATION {"citationItems":[{"id":"ITEM-1","itemData":{"DOI":"10.15294/jejak.v14i1.26062","abstract":"Security is a form of guarantee that needs to be given by the state to its citizens. This fulfillment can be realized through the provision of national defense for all citizens. Nevertheless, military expenditure as a source of providing national defense needs attention. This is caused by its unproductive nature when compared to other sectors such as agriculture, banking, industry, and others. This study aims to analyze the effect of Military Expenditures on the level of Economic Growth. Furthermore, this study also analyzes the effect of interactions between Military Expenditure with other variables such as Population, Foreign Direct Investment (FDI), Political Stability, and Rule of Law, to see their indirect effects on Economic Growth. This study uses secondary data and covering 27 selected Lower-Middle Income Countries from 2002-2018. Furthermore, this study uses dynamic panel data analysis with the System Generalized Method of Moments (GMM) method. The Military Expenditure in this study does not significantly influence Economic Growth. However, it was found that Military Expenditure had a positive and significant influence on Economic Growth when interacting with other variables.","author":[{"dropping-particle":"","family":"Nugroho","given":"Dirga Ardian","non-dropping-particle":"","parse-names":false,"suffix":""},{"dropping-particle":"","family":"Purwanti","given":"Evi Yulia","non-dropping-particle":"","parse-names":false,"suffix":""}],"container-title":"Jejak","id":"ITEM-1","issue":"1","issued":{"date-parts":[["2021"]]},"page":"9-20","title":"Impact of Military Expenditure on Economic Growth Encouraging or Constraining?","type":"article-journal","volume":"14"},"uris":["http://www.mendeley.com/documents/?uuid=62f369bd-fcc9-4e72-9919-9d65cfe8cbce"]}],"mendeley":{"formattedCitation":"(Nugroho &amp; Purwanti, 2021)","plainTextFormattedCitation":"(Nugroho &amp; Purwanti, 2021)","previouslyFormattedCitation":"(Nugroho &amp; Purwanti, 2021)"},"properties":{"noteIndex":0},"schema":"https://github.com/citation-style-language/schema/raw/master/csl-citation.json"}</w:instrText>
      </w:r>
      <w:r>
        <w:rPr>
          <w:rFonts w:ascii="Garamond" w:hAnsi="Garamond"/>
        </w:rPr>
        <w:fldChar w:fldCharType="separate"/>
      </w:r>
      <w:r w:rsidRPr="00FB39AC">
        <w:rPr>
          <w:rFonts w:ascii="Garamond" w:hAnsi="Garamond"/>
          <w:noProof/>
        </w:rPr>
        <w:t>(Nugroho &amp; Purwanti, 2021)</w:t>
      </w:r>
      <w:r>
        <w:rPr>
          <w:rFonts w:ascii="Garamond" w:hAnsi="Garamond"/>
        </w:rPr>
        <w:fldChar w:fldCharType="end"/>
      </w:r>
      <w:r w:rsidRPr="007678E8">
        <w:rPr>
          <w:rFonts w:ascii="Garamond" w:hAnsi="Garamond"/>
        </w:rPr>
        <w:t xml:space="preserve">, which </w:t>
      </w:r>
      <w:proofErr w:type="spellStart"/>
      <w:r w:rsidRPr="007678E8">
        <w:rPr>
          <w:rFonts w:ascii="Garamond" w:hAnsi="Garamond"/>
        </w:rPr>
        <w:t>analyzed</w:t>
      </w:r>
      <w:proofErr w:type="spellEnd"/>
      <w:r w:rsidRPr="007678E8">
        <w:rPr>
          <w:rFonts w:ascii="Garamond" w:hAnsi="Garamond"/>
        </w:rPr>
        <w:t xml:space="preserve"> 27 middle-income countries, found that military expenditure does not contribute significantly to GDP and can worsen fiscal pressures. Recent </w:t>
      </w:r>
      <w:r w:rsidR="000F3E03">
        <w:rPr>
          <w:rFonts w:ascii="Garamond" w:hAnsi="Garamond"/>
        </w:rPr>
        <w:t>evidence</w:t>
      </w:r>
      <w:r w:rsidRPr="007678E8">
        <w:rPr>
          <w:rFonts w:ascii="Garamond" w:hAnsi="Garamond"/>
        </w:rPr>
        <w:t xml:space="preserve"> from research by </w:t>
      </w:r>
      <w:r>
        <w:rPr>
          <w:rFonts w:ascii="Garamond" w:hAnsi="Garamond"/>
        </w:rPr>
        <w:fldChar w:fldCharType="begin" w:fldLock="1"/>
      </w:r>
      <w:r>
        <w:rPr>
          <w:rFonts w:ascii="Garamond" w:hAnsi="Garamond"/>
        </w:rPr>
        <w:instrText>ADDIN CSL_CITATION {"citationItems":[{"id":"ITEM-1","itemData":{"abstract":"This study aims to analyze the causal relationship between military spending and economic growth in ASEAN-5 countries. This study uses panel data from 1980-2022 from World Bank and Stockholm International Peace Research Institute (SIPRI) publication data. The data analysis used is descriptive analysis and inductive analysis. The analysis method used is the Vector Autoregression (VAR) model which is continued with the Panel Vector Error Correction Model (PVECM) model and the Panel Granger Causality Test. In addition, the cointegration test used in this study was carried out using the Johansen Cointegration Test. The results of this study indicate that: There is no causal relationship between military spending and economic growth in ASEAN-5 countries. Military spending does not significantly affect economic growth in ASEAN-5 countries in 1980-2022. However, there is a unidirectional relationship between economic growth and military spending. Economic growth significantly affects military spending. There is a long-term and short-term relationship between military spending and economic growth that has a negative effect.","author":[{"dropping-particle":"","family":"Ibon","given":"Naifah Dwina","non-dropping-particle":"","parse-names":false,"suffix":""},{"dropping-particle":"","family":"Irfan","given":"Muhammad","non-dropping-particle":"","parse-names":false,"suffix":""}],"container-title":"Media Riset Ekonomi Pembangunan (MedREP)","id":"ITEM-1","issue":"4","issued":{"date-parts":[["2024"]]},"page":"705-713","title":"Causality Analysis of Military Expenditure and Economic Growth in ASEAN-5 Countries","type":"article-journal","volume":"1"},"uris":["http://www.mendeley.com/documents/?uuid=4d083da6-0daa-4296-b3b8-45655f770110"]}],"mendeley":{"formattedCitation":"(Ibon &amp; Irfan, 2024)","plainTextFormattedCitation":"(Ibon &amp; Irfan, 2024)","previouslyFormattedCitation":"(Ibon &amp; Irfan, 2024)"},"properties":{"noteIndex":0},"schema":"https://github.com/citation-style-language/schema/raw/master/csl-citation.json"}</w:instrText>
      </w:r>
      <w:r>
        <w:rPr>
          <w:rFonts w:ascii="Garamond" w:hAnsi="Garamond"/>
        </w:rPr>
        <w:fldChar w:fldCharType="separate"/>
      </w:r>
      <w:r w:rsidRPr="00FB39AC">
        <w:rPr>
          <w:rFonts w:ascii="Garamond" w:hAnsi="Garamond"/>
          <w:noProof/>
        </w:rPr>
        <w:t>(Ibon &amp; Irfan, 2024)</w:t>
      </w:r>
      <w:r>
        <w:rPr>
          <w:rFonts w:ascii="Garamond" w:hAnsi="Garamond"/>
        </w:rPr>
        <w:fldChar w:fldCharType="end"/>
      </w:r>
      <w:r w:rsidRPr="007678E8">
        <w:rPr>
          <w:rFonts w:ascii="Garamond" w:hAnsi="Garamond"/>
        </w:rPr>
        <w:t xml:space="preserve"> </w:t>
      </w:r>
      <w:r w:rsidR="000F3E03">
        <w:rPr>
          <w:rFonts w:ascii="Garamond" w:hAnsi="Garamond"/>
        </w:rPr>
        <w:t>on</w:t>
      </w:r>
      <w:r w:rsidRPr="007678E8">
        <w:rPr>
          <w:rFonts w:ascii="Garamond" w:hAnsi="Garamond"/>
        </w:rPr>
        <w:t xml:space="preserve"> ASEAN-5 </w:t>
      </w:r>
      <w:r w:rsidR="000F3E03">
        <w:rPr>
          <w:rFonts w:ascii="Garamond" w:hAnsi="Garamond"/>
        </w:rPr>
        <w:t xml:space="preserve">economies further support this view, showing </w:t>
      </w:r>
      <w:r w:rsidRPr="007678E8">
        <w:rPr>
          <w:rFonts w:ascii="Garamond" w:hAnsi="Garamond"/>
        </w:rPr>
        <w:t>that economic growth significantly drives increase</w:t>
      </w:r>
      <w:r w:rsidR="000F3E03">
        <w:rPr>
          <w:rFonts w:ascii="Garamond" w:hAnsi="Garamond"/>
        </w:rPr>
        <w:t>s in</w:t>
      </w:r>
      <w:r w:rsidRPr="007678E8">
        <w:rPr>
          <w:rFonts w:ascii="Garamond" w:hAnsi="Garamond"/>
        </w:rPr>
        <w:t xml:space="preserve"> military expenditure rather than th</w:t>
      </w:r>
      <w:r w:rsidR="00600F9C">
        <w:rPr>
          <w:rFonts w:ascii="Garamond" w:hAnsi="Garamond"/>
        </w:rPr>
        <w:t>e reverse</w:t>
      </w:r>
      <w:r w:rsidRPr="007678E8">
        <w:rPr>
          <w:rFonts w:ascii="Garamond" w:hAnsi="Garamond"/>
        </w:rPr>
        <w:t>. Th</w:t>
      </w:r>
      <w:r w:rsidR="00600F9C">
        <w:rPr>
          <w:rFonts w:ascii="Garamond" w:hAnsi="Garamond"/>
        </w:rPr>
        <w:t>ese</w:t>
      </w:r>
      <w:r w:rsidRPr="007678E8">
        <w:rPr>
          <w:rFonts w:ascii="Garamond" w:hAnsi="Garamond"/>
        </w:rPr>
        <w:t xml:space="preserve"> </w:t>
      </w:r>
      <w:r w:rsidR="00600F9C">
        <w:rPr>
          <w:rFonts w:ascii="Garamond" w:hAnsi="Garamond"/>
        </w:rPr>
        <w:t xml:space="preserve">findings </w:t>
      </w:r>
      <w:r w:rsidRPr="007678E8">
        <w:rPr>
          <w:rFonts w:ascii="Garamond" w:hAnsi="Garamond"/>
        </w:rPr>
        <w:t xml:space="preserve">indicate that military expenditure </w:t>
      </w:r>
      <w:r w:rsidR="00600F9C">
        <w:rPr>
          <w:rFonts w:ascii="Garamond" w:hAnsi="Garamond"/>
        </w:rPr>
        <w:t xml:space="preserve">in developing economies tents to be </w:t>
      </w:r>
      <w:r w:rsidRPr="007678E8">
        <w:rPr>
          <w:rFonts w:ascii="Garamond" w:hAnsi="Garamond"/>
        </w:rPr>
        <w:t xml:space="preserve">more reactive to fiscal capacity than a </w:t>
      </w:r>
      <w:r w:rsidR="00600F9C">
        <w:rPr>
          <w:rFonts w:ascii="Garamond" w:hAnsi="Garamond"/>
        </w:rPr>
        <w:t>catalyst for</w:t>
      </w:r>
      <w:r w:rsidRPr="007678E8">
        <w:rPr>
          <w:rFonts w:ascii="Garamond" w:hAnsi="Garamond"/>
        </w:rPr>
        <w:t xml:space="preserve"> growth. The inconsistency of the previous study suggests that the growth effects of military expenditure are context-dependent, shaped by institutional quality, budget efficiency, and industrial linkages.</w:t>
      </w:r>
    </w:p>
    <w:p w14:paraId="3A4D6CE8" w14:textId="01D71C22" w:rsidR="00DB29F3" w:rsidRDefault="00DB29F3" w:rsidP="00DB29F3">
      <w:pPr>
        <w:ind w:firstLine="360"/>
        <w:jc w:val="both"/>
        <w:rPr>
          <w:rFonts w:ascii="Garamond" w:hAnsi="Garamond"/>
        </w:rPr>
      </w:pPr>
      <w:r w:rsidRPr="007678E8">
        <w:rPr>
          <w:rFonts w:ascii="Garamond" w:hAnsi="Garamond"/>
        </w:rPr>
        <w:t xml:space="preserve">Military expenditure may also influence exchange-rate dynamics through various macroeconomic mechanisms as described in the Mundell-Fleming model. In an open economy, fiscal expansion influences domestic interest rates and capital flows, which in turn affect currency valuation </w:t>
      </w:r>
      <w:r>
        <w:rPr>
          <w:rFonts w:ascii="Garamond" w:hAnsi="Garamond"/>
        </w:rPr>
        <w:fldChar w:fldCharType="begin" w:fldLock="1"/>
      </w:r>
      <w:r>
        <w:rPr>
          <w:rFonts w:ascii="Garamond" w:hAnsi="Garamond"/>
        </w:rPr>
        <w:instrText>ADDIN CSL_CITATION {"citationItems":[{"id":"ITEM-1","itemData":{"ISBN":"978-1-4292-1887-0","ISSN":"0021-9525","author":[{"dropping-particle":"","family":"Mankiw","given":"Gregory N","non-dropping-particle":"","parse-names":false,"suffix":""}],"container-title":"Worth Publishers","edition":"7th","editor":[{"dropping-particle":"","family":"Kasowitz","given":"Dana","non-dropping-particle":"","parse-names":false,"suffix":""}],"id":"ITEM-1","issued":{"date-parts":[["2009","2"]]},"publisher":"Worth Publisher","publisher-place":"New York","title":"Macroeconomics","type":"book"},"uris":["http://www.mendeley.com/documents/?uuid=4f2da313-3873-42a0-8f58-c63e24a01255"]}],"mendeley":{"formattedCitation":"(Mankiw, 2009)","plainTextFormattedCitation":"(Mankiw, 2009)","previouslyFormattedCitation":"(Mankiw, 2009)"},"properties":{"noteIndex":0},"schema":"https://github.com/citation-style-language/schema/raw/master/csl-citation.json"}</w:instrText>
      </w:r>
      <w:r>
        <w:rPr>
          <w:rFonts w:ascii="Garamond" w:hAnsi="Garamond"/>
        </w:rPr>
        <w:fldChar w:fldCharType="separate"/>
      </w:r>
      <w:r w:rsidRPr="00FB39AC">
        <w:rPr>
          <w:rFonts w:ascii="Garamond" w:hAnsi="Garamond"/>
          <w:noProof/>
        </w:rPr>
        <w:t>(Mankiw, 2009)</w:t>
      </w:r>
      <w:r>
        <w:rPr>
          <w:rFonts w:ascii="Garamond" w:hAnsi="Garamond"/>
        </w:rPr>
        <w:fldChar w:fldCharType="end"/>
      </w:r>
      <w:r w:rsidRPr="007678E8">
        <w:rPr>
          <w:rFonts w:ascii="Garamond" w:hAnsi="Garamond"/>
        </w:rPr>
        <w:t xml:space="preserve">. In Indonesia, fluctuations in military expenditure have coincided with changes in rupiah stability, indicating possible two-way interactions between fiscal and external sectors. The study of </w:t>
      </w:r>
      <w:r>
        <w:rPr>
          <w:rFonts w:ascii="Garamond" w:hAnsi="Garamond"/>
        </w:rPr>
        <w:fldChar w:fldCharType="begin" w:fldLock="1"/>
      </w:r>
      <w:r>
        <w:rPr>
          <w:rFonts w:ascii="Garamond" w:hAnsi="Garamond"/>
        </w:rPr>
        <w:instrText>ADDIN CSL_CITATION {"citationItems":[{"id":"ITEM-1","itemData":{"DOI":"10.32815/jibeka.v17i3.1177","ISSN":"0126-1258","abstract":"One of the fiscal policy strategies used by the government to strengthen the economy and national security is military expenditure. There are many inconsistencies in the results of research examining the influence of military expenditure on economic growth, and it is still rare to find research that validates the influence of military expenditure on the exchange rate. Through time series data in Indonesia during the 1999-2021 period, this research validates the relationship between these three variables using Two-stage Least Square (2SLS) Regression Analysis. The estimation results using econometric models provide empirical evidence of the strength of military expenditure in influencing economic growth and the exchange rate, although the level of influence on economic growth is much higher than the exchange rate. It is recommended that further research carry out a Granger causality test and a Johansen cointegration test to determine the term of the causal relationship between the three variables studied.","author":[{"dropping-particle":"","family":"Soelistyo","given":"Aris","non-dropping-particle":"","parse-names":false,"suffix":""}],"container-title":"Jurnal Ilmiah Bisnis dan Ekonomi Asia","id":"ITEM-1","issue":"3","issued":{"date-parts":[["2023"]]},"page":"266-278","title":"How Strongly Does Military Expenditure Impact Economic Growth and the Exchange Rate?","type":"article-journal","volume":"17"},"uris":["http://www.mendeley.com/documents/?uuid=5320e8d9-f417-4322-a318-6a846427f646"]}],"mendeley":{"formattedCitation":"(Soelistyo, 2023)","plainTextFormattedCitation":"(Soelistyo, 2023)","previouslyFormattedCitation":"(Soelistyo, 2023)"},"properties":{"noteIndex":0},"schema":"https://github.com/citation-style-language/schema/raw/master/csl-citation.json"}</w:instrText>
      </w:r>
      <w:r>
        <w:rPr>
          <w:rFonts w:ascii="Garamond" w:hAnsi="Garamond"/>
        </w:rPr>
        <w:fldChar w:fldCharType="separate"/>
      </w:r>
      <w:r w:rsidRPr="00FB39AC">
        <w:rPr>
          <w:rFonts w:ascii="Garamond" w:hAnsi="Garamond"/>
          <w:noProof/>
        </w:rPr>
        <w:t>(Soelistyo, 2023)</w:t>
      </w:r>
      <w:r>
        <w:rPr>
          <w:rFonts w:ascii="Garamond" w:hAnsi="Garamond"/>
        </w:rPr>
        <w:fldChar w:fldCharType="end"/>
      </w:r>
      <w:r w:rsidRPr="007678E8">
        <w:rPr>
          <w:rFonts w:ascii="Garamond" w:hAnsi="Garamond"/>
        </w:rPr>
        <w:t xml:space="preserve"> found that increases in military expenditure are correlated with broader macroeconomic stability and contribute to maintaining the value of the rupiah. Similar results are reported by </w:t>
      </w:r>
      <w:r>
        <w:rPr>
          <w:rFonts w:ascii="Garamond" w:hAnsi="Garamond"/>
        </w:rPr>
        <w:fldChar w:fldCharType="begin" w:fldLock="1"/>
      </w:r>
      <w:r>
        <w:rPr>
          <w:rFonts w:ascii="Garamond" w:hAnsi="Garamond"/>
        </w:rPr>
        <w:instrText>ADDIN CSL_CITATION {"citationItems":[{"id":"ITEM-1","itemData":{"DOI":"10.1016/j.jinteco.2018.11.009","ISSN":"18730353","abstract":"Using panel data on military spending for 125 countries, we document new facts about the effects of changes in government purchases on the real exchange rate, consumption, and current accounts in both advanced and developing countries. While an increase in government purchases causes real exchange rates to appreciate and increases consumption significantly in developing countries, it causes real exchange rates to depreciate and decreases consumption in advanced countries. The current account decreases in both groups of countries. These findings are not consistent with standard international business cycle models. We discuss potential sources of the differences between advanced and developing countries in the responses to spending shocks.","author":[{"dropping-particle":"","family":"Miyamoto","given":"Wataru","non-dropping-particle":"","parse-names":false,"suffix":""},{"dropping-particle":"","family":"Nguyen","given":"Thuy Lan","non-dropping-particle":"","parse-names":false,"suffix":""},{"dropping-particle":"","family":"Sheremirov","given":"Viacheslav","non-dropping-particle":"","parse-names":false,"suffix":""}],"container-title":"Journal of International Economics","id":"ITEM-1","issued":{"date-parts":[["2019"]]},"page":"144-157","publisher":"Elsevier B.V","title":"The effects of government spending on real exchange rates: Evidence from military spending panel data","type":"article-journal","volume":"116"},"uris":["http://www.mendeley.com/documents/?uuid=26cfd147-1af9-4d3c-b665-3ac98ed87eff"]}],"mendeley":{"formattedCitation":"(Miyamoto et al., 2019)","plainTextFormattedCitation":"(Miyamoto et al., 2019)","previouslyFormattedCitation":"(Miyamoto et al., 2019)"},"properties":{"noteIndex":0},"schema":"https://github.com/citation-style-language/schema/raw/master/csl-citation.json"}</w:instrText>
      </w:r>
      <w:r>
        <w:rPr>
          <w:rFonts w:ascii="Garamond" w:hAnsi="Garamond"/>
        </w:rPr>
        <w:fldChar w:fldCharType="separate"/>
      </w:r>
      <w:r w:rsidRPr="00FB39AC">
        <w:rPr>
          <w:rFonts w:ascii="Garamond" w:hAnsi="Garamond"/>
          <w:noProof/>
        </w:rPr>
        <w:t>(Miyamoto et al., 2019)</w:t>
      </w:r>
      <w:r>
        <w:rPr>
          <w:rFonts w:ascii="Garamond" w:hAnsi="Garamond"/>
        </w:rPr>
        <w:fldChar w:fldCharType="end"/>
      </w:r>
      <w:r w:rsidRPr="007678E8">
        <w:rPr>
          <w:rFonts w:ascii="Garamond" w:hAnsi="Garamond"/>
        </w:rPr>
        <w:t xml:space="preserve">, who found that public spending affects exchange rates through market expectations about fiscal policy. Conversely, the literature also notes the opposite relationship, where exchange-rate volatility can reduce a country’s </w:t>
      </w:r>
      <w:r w:rsidRPr="007678E8">
        <w:rPr>
          <w:rFonts w:ascii="Garamond" w:hAnsi="Garamond"/>
        </w:rPr>
        <w:lastRenderedPageBreak/>
        <w:t xml:space="preserve">ability to import </w:t>
      </w:r>
      <w:proofErr w:type="spellStart"/>
      <w:r w:rsidRPr="007678E8">
        <w:rPr>
          <w:rFonts w:ascii="Garamond" w:hAnsi="Garamond"/>
        </w:rPr>
        <w:t>defense</w:t>
      </w:r>
      <w:proofErr w:type="spellEnd"/>
      <w:r w:rsidRPr="007678E8">
        <w:rPr>
          <w:rFonts w:ascii="Garamond" w:hAnsi="Garamond"/>
        </w:rPr>
        <w:t xml:space="preserve"> equipment and force a reallocation of the </w:t>
      </w:r>
      <w:proofErr w:type="spellStart"/>
      <w:r w:rsidRPr="007678E8">
        <w:rPr>
          <w:rFonts w:ascii="Garamond" w:hAnsi="Garamond"/>
        </w:rPr>
        <w:t>defense</w:t>
      </w:r>
      <w:proofErr w:type="spellEnd"/>
      <w:r w:rsidRPr="007678E8">
        <w:rPr>
          <w:rFonts w:ascii="Garamond" w:hAnsi="Garamond"/>
        </w:rPr>
        <w:t xml:space="preserve"> budget </w:t>
      </w:r>
      <w:r>
        <w:rPr>
          <w:rFonts w:ascii="Garamond" w:hAnsi="Garamond"/>
        </w:rPr>
        <w:fldChar w:fldCharType="begin" w:fldLock="1"/>
      </w:r>
      <w:r>
        <w:rPr>
          <w:rFonts w:ascii="Garamond" w:hAnsi="Garamond"/>
        </w:rPr>
        <w:instrText>ADDIN CSL_CITATION {"citationItems":[{"id":"ITEM-1","itemData":{"DOI":"10.1111/j.1468-2478.2012.00752.x","ISSN":"00208833","abstract":"Can monetary policy, and the exchange rate, affect military capability? If weapons systems are purchased on international markets, then a depreciating currency can reduce the import of arms, affecting the relative capabilities of military rivals. In this research note, we analyze the demand for arms imports using an error correction model. We show that arms are a \"normal\" good, with the quantity demanded directly related to price and with exchange rates serving as an instrument for price movements that are normally unobserved. Such price movements are increasingly important given currency volatility and a reliance on imported technology. © 2012 International Studies Association.","author":[{"dropping-particle":"","family":"Goodhart","given":"Lucy M.","non-dropping-particle":"","parse-names":false,"suffix":""},{"dropping-particle":"","family":"Xenias","given":"Anastasia","non-dropping-particle":"","parse-names":false,"suffix":""}],"container-title":"International Studies Quarterly","id":"ITEM-1","issue":"4","issued":{"date-parts":[["2012"]]},"page":"786-792","title":"Guns and Money in the Open Economy: The Exchange Rate and the Demand for Arms Imports","type":"article-journal","volume":"56"},"uris":["http://www.mendeley.com/documents/?uuid=a1036777-e668-4374-9f3f-391d168cc6b3"]}],"mendeley":{"formattedCitation":"(Goodhart &amp; Xenias, 2012)","plainTextFormattedCitation":"(Goodhart &amp; Xenias, 2012)","previouslyFormattedCitation":"(Goodhart &amp; Xenias, 2012)"},"properties":{"noteIndex":0},"schema":"https://github.com/citation-style-language/schema/raw/master/csl-citation.json"}</w:instrText>
      </w:r>
      <w:r>
        <w:rPr>
          <w:rFonts w:ascii="Garamond" w:hAnsi="Garamond"/>
        </w:rPr>
        <w:fldChar w:fldCharType="separate"/>
      </w:r>
      <w:r w:rsidRPr="00FB39AC">
        <w:rPr>
          <w:rFonts w:ascii="Garamond" w:hAnsi="Garamond"/>
          <w:noProof/>
        </w:rPr>
        <w:t>(Goodhart &amp; Xenias, 2012)</w:t>
      </w:r>
      <w:r>
        <w:rPr>
          <w:rFonts w:ascii="Garamond" w:hAnsi="Garamond"/>
        </w:rPr>
        <w:fldChar w:fldCharType="end"/>
      </w:r>
      <w:r w:rsidRPr="007678E8">
        <w:rPr>
          <w:rFonts w:ascii="Garamond" w:hAnsi="Garamond"/>
        </w:rPr>
        <w:t>. These findings suggest that external conditions and fiscal policy play a crucial role in shaping the link between military expenditure and the exchange rate.</w:t>
      </w:r>
    </w:p>
    <w:p w14:paraId="0044BB42" w14:textId="77777777" w:rsidR="006C5557" w:rsidRDefault="006C5557" w:rsidP="00DB29F3">
      <w:pPr>
        <w:ind w:firstLine="360"/>
        <w:jc w:val="both"/>
        <w:rPr>
          <w:rFonts w:ascii="Garamond" w:hAnsi="Garamond"/>
        </w:rPr>
      </w:pPr>
    </w:p>
    <w:p w14:paraId="3ACCF2DE" w14:textId="43AEABDE" w:rsidR="003865F2" w:rsidRPr="006C5557" w:rsidRDefault="006C5557" w:rsidP="006C5557">
      <w:pPr>
        <w:jc w:val="both"/>
        <w:rPr>
          <w:rFonts w:ascii="Garamond" w:hAnsi="Garamond"/>
          <w:b/>
          <w:bCs/>
        </w:rPr>
      </w:pPr>
      <w:r w:rsidRPr="006C5557">
        <w:rPr>
          <w:rFonts w:ascii="Garamond" w:hAnsi="Garamond"/>
          <w:b/>
          <w:bCs/>
        </w:rPr>
        <w:t>Hypothesis Development</w:t>
      </w:r>
    </w:p>
    <w:p w14:paraId="4757D0D4" w14:textId="60077AFD" w:rsidR="00DB29F3" w:rsidRPr="00B21FF9" w:rsidRDefault="00C73C6A" w:rsidP="00DB29F3">
      <w:pPr>
        <w:ind w:firstLine="360"/>
        <w:jc w:val="both"/>
        <w:rPr>
          <w:rFonts w:ascii="Garamond" w:hAnsi="Garamond"/>
        </w:rPr>
      </w:pPr>
      <w:r>
        <w:rPr>
          <w:rFonts w:ascii="Garamond" w:hAnsi="Garamond"/>
        </w:rPr>
        <w:t>R</w:t>
      </w:r>
      <w:r w:rsidR="00DB29F3" w:rsidRPr="00B21FF9">
        <w:rPr>
          <w:rFonts w:ascii="Garamond" w:hAnsi="Garamond"/>
        </w:rPr>
        <w:t xml:space="preserve">esearch on the </w:t>
      </w:r>
      <w:proofErr w:type="spellStart"/>
      <w:r w:rsidR="00DB29F3" w:rsidRPr="00B21FF9">
        <w:rPr>
          <w:rFonts w:ascii="Garamond" w:hAnsi="Garamond"/>
        </w:rPr>
        <w:t>defense</w:t>
      </w:r>
      <w:proofErr w:type="spellEnd"/>
      <w:r w:rsidR="00DB29F3" w:rsidRPr="00B21FF9">
        <w:rPr>
          <w:rFonts w:ascii="Garamond" w:hAnsi="Garamond"/>
        </w:rPr>
        <w:t xml:space="preserve">-growth nexus has largely focused on two-variable models, examining either the direction of causality between </w:t>
      </w:r>
      <w:proofErr w:type="spellStart"/>
      <w:r w:rsidR="00DB29F3" w:rsidRPr="00B21FF9">
        <w:rPr>
          <w:rFonts w:ascii="Garamond" w:hAnsi="Garamond"/>
        </w:rPr>
        <w:t>defense</w:t>
      </w:r>
      <w:proofErr w:type="spellEnd"/>
      <w:r w:rsidR="00DB29F3" w:rsidRPr="00B21FF9">
        <w:rPr>
          <w:rFonts w:ascii="Garamond" w:hAnsi="Garamond"/>
        </w:rPr>
        <w:t xml:space="preserve"> spending and GDP or the fiscal burden of military expenditure. </w:t>
      </w:r>
      <w:r w:rsidR="002951CE">
        <w:rPr>
          <w:rFonts w:ascii="Garamond" w:hAnsi="Garamond"/>
        </w:rPr>
        <w:t>F</w:t>
      </w:r>
      <w:r w:rsidR="00DB29F3" w:rsidRPr="00B21FF9">
        <w:rPr>
          <w:rFonts w:ascii="Garamond" w:hAnsi="Garamond"/>
        </w:rPr>
        <w:t xml:space="preserve">ew studies have integrated the exchange-rate channel even though it represents an important transmission mechanism between fiscal and external sectors. Addressing this empirical gap, this study simultaneously examines the </w:t>
      </w:r>
      <w:r w:rsidR="00044302">
        <w:rPr>
          <w:rFonts w:ascii="Garamond" w:hAnsi="Garamond"/>
        </w:rPr>
        <w:t>long-term</w:t>
      </w:r>
      <w:r w:rsidR="00DB29F3" w:rsidRPr="00B21FF9">
        <w:rPr>
          <w:rFonts w:ascii="Garamond" w:hAnsi="Garamond"/>
        </w:rPr>
        <w:t xml:space="preserve"> equilibrium and causal relationships among military expenditure, economic growth, and exchange-rate dynamics over the period 2000-2023</w:t>
      </w:r>
      <w:r w:rsidR="00F163A2">
        <w:rPr>
          <w:rFonts w:ascii="Garamond" w:hAnsi="Garamond"/>
        </w:rPr>
        <w:t xml:space="preserve"> in Indonesia economies</w:t>
      </w:r>
      <w:r w:rsidR="00DB29F3" w:rsidRPr="00B21FF9">
        <w:rPr>
          <w:rFonts w:ascii="Garamond" w:hAnsi="Garamond"/>
        </w:rPr>
        <w:t xml:space="preserve">. Building upon these theoretical foundations, the development of hypotheses in this study draws on three key frameworks: the Keynesian demand-side perspective, Wagner’s Law of fiscal responsiveness, and the Mundell-Fleming model of open-economy interactions. These theories provide complementary insights into whether Indonesia’s </w:t>
      </w:r>
      <w:proofErr w:type="spellStart"/>
      <w:r w:rsidR="00DB29F3" w:rsidRPr="00B21FF9">
        <w:rPr>
          <w:rFonts w:ascii="Garamond" w:hAnsi="Garamond"/>
        </w:rPr>
        <w:t>defense</w:t>
      </w:r>
      <w:proofErr w:type="spellEnd"/>
      <w:r w:rsidR="00DB29F3" w:rsidRPr="00B21FF9">
        <w:rPr>
          <w:rFonts w:ascii="Garamond" w:hAnsi="Garamond"/>
        </w:rPr>
        <w:t xml:space="preserve"> spending functions as a short-term economic stimulus, a long-term fiscal response to income growth, or a policy instrument influencing exchange-rate stability. Based on the theoretical reasoning, the hypotheses are </w:t>
      </w:r>
      <w:r w:rsidR="00765581">
        <w:rPr>
          <w:rFonts w:ascii="Garamond" w:hAnsi="Garamond"/>
        </w:rPr>
        <w:t>formulated as follows</w:t>
      </w:r>
      <w:r w:rsidR="00DB29F3" w:rsidRPr="00B21FF9">
        <w:rPr>
          <w:rFonts w:ascii="Garamond" w:hAnsi="Garamond"/>
        </w:rPr>
        <w:t>:</w:t>
      </w:r>
    </w:p>
    <w:p w14:paraId="0EF338F9" w14:textId="77777777" w:rsidR="00DB29F3" w:rsidRPr="00B21FF9" w:rsidRDefault="00DB29F3" w:rsidP="00DB29F3">
      <w:pPr>
        <w:ind w:firstLine="360"/>
        <w:jc w:val="both"/>
        <w:rPr>
          <w:rFonts w:ascii="Garamond" w:hAnsi="Garamond"/>
        </w:rPr>
      </w:pPr>
      <w:r w:rsidRPr="00B21FF9">
        <w:rPr>
          <w:rFonts w:ascii="Garamond" w:hAnsi="Garamond"/>
        </w:rPr>
        <w:t>H1: There exists a long-term equilibrium relationship among military expenditure, economic growth, and the exchange rate in Indonesia.</w:t>
      </w:r>
    </w:p>
    <w:p w14:paraId="23DD67C6" w14:textId="77777777" w:rsidR="00DB29F3" w:rsidRPr="00B21FF9" w:rsidRDefault="00DB29F3" w:rsidP="00DB29F3">
      <w:pPr>
        <w:ind w:firstLine="360"/>
        <w:jc w:val="both"/>
        <w:rPr>
          <w:rFonts w:ascii="Garamond" w:hAnsi="Garamond"/>
        </w:rPr>
      </w:pPr>
      <w:r w:rsidRPr="00B21FF9">
        <w:rPr>
          <w:rFonts w:ascii="Garamond" w:hAnsi="Garamond"/>
        </w:rPr>
        <w:t>H2a: Economic growth Granger-causes military expenditure.</w:t>
      </w:r>
    </w:p>
    <w:p w14:paraId="7FE2DD0F" w14:textId="77777777" w:rsidR="00DB29F3" w:rsidRPr="00B21FF9" w:rsidRDefault="00DB29F3" w:rsidP="00DB29F3">
      <w:pPr>
        <w:ind w:firstLine="360"/>
        <w:jc w:val="both"/>
        <w:rPr>
          <w:rFonts w:ascii="Garamond" w:hAnsi="Garamond"/>
        </w:rPr>
      </w:pPr>
      <w:r w:rsidRPr="00B21FF9">
        <w:rPr>
          <w:rFonts w:ascii="Garamond" w:hAnsi="Garamond"/>
        </w:rPr>
        <w:t>H2b: Military expenditure Granger-causes economic growth.</w:t>
      </w:r>
    </w:p>
    <w:p w14:paraId="3D478940" w14:textId="77777777" w:rsidR="00DB29F3" w:rsidRPr="00B21FF9" w:rsidRDefault="00DB29F3" w:rsidP="00DB29F3">
      <w:pPr>
        <w:ind w:firstLine="360"/>
        <w:jc w:val="both"/>
        <w:rPr>
          <w:rFonts w:ascii="Garamond" w:hAnsi="Garamond"/>
        </w:rPr>
      </w:pPr>
      <w:r w:rsidRPr="00B21FF9">
        <w:rPr>
          <w:rFonts w:ascii="Garamond" w:hAnsi="Garamond"/>
        </w:rPr>
        <w:t>H3a: Military expenditure Granger-causes the exchange rate.</w:t>
      </w:r>
    </w:p>
    <w:p w14:paraId="21DD64F3" w14:textId="0FD4BDE3" w:rsidR="00DB29F3" w:rsidRDefault="00DB29F3" w:rsidP="00DB29F3">
      <w:pPr>
        <w:ind w:firstLine="360"/>
        <w:jc w:val="both"/>
        <w:rPr>
          <w:rFonts w:ascii="Garamond" w:hAnsi="Garamond"/>
        </w:rPr>
      </w:pPr>
      <w:r w:rsidRPr="00B21FF9">
        <w:rPr>
          <w:rFonts w:ascii="Garamond" w:hAnsi="Garamond"/>
        </w:rPr>
        <w:t>H3b: The exchange rate Granger-causes military expenditure</w:t>
      </w:r>
      <w:r>
        <w:rPr>
          <w:rFonts w:ascii="Garamond" w:hAnsi="Garamond"/>
        </w:rPr>
        <w:t>.</w:t>
      </w:r>
    </w:p>
    <w:p w14:paraId="6FA909C4" w14:textId="77777777" w:rsidR="007678E8" w:rsidRPr="003259C2" w:rsidRDefault="007678E8" w:rsidP="003259C2">
      <w:pPr>
        <w:jc w:val="both"/>
        <w:rPr>
          <w:rFonts w:ascii="Garamond" w:hAnsi="Garamond"/>
        </w:rPr>
      </w:pPr>
    </w:p>
    <w:p w14:paraId="61A0E956" w14:textId="4719DF54" w:rsidR="003259C2" w:rsidRPr="009531EB" w:rsidRDefault="003259C2" w:rsidP="003259C2">
      <w:pPr>
        <w:pStyle w:val="ListParagraph"/>
        <w:numPr>
          <w:ilvl w:val="0"/>
          <w:numId w:val="79"/>
        </w:numPr>
        <w:jc w:val="both"/>
        <w:rPr>
          <w:rFonts w:ascii="Garamond" w:hAnsi="Garamond"/>
        </w:rPr>
      </w:pPr>
      <w:r>
        <w:rPr>
          <w:rFonts w:ascii="Garamond" w:hAnsi="Garamond"/>
          <w:b/>
          <w:bCs/>
        </w:rPr>
        <w:t>METHODOLOGY</w:t>
      </w:r>
    </w:p>
    <w:p w14:paraId="1762EB57" w14:textId="77777777" w:rsidR="00FF43BB" w:rsidRDefault="009531EB" w:rsidP="00FF43BB">
      <w:pPr>
        <w:ind w:firstLine="360"/>
        <w:jc w:val="both"/>
        <w:rPr>
          <w:rFonts w:ascii="Garamond" w:hAnsi="Garamond"/>
        </w:rPr>
      </w:pPr>
      <w:r w:rsidRPr="009531EB">
        <w:rPr>
          <w:rFonts w:ascii="Garamond" w:hAnsi="Garamond"/>
        </w:rPr>
        <w:t>This study adopts a quantitative approach to investigate the interrelationships among military expenditure, economic growth, and the exchange rate in Indonesia. The analysis draws on annual time-series data for the period 2000-2023, sourced from the World Bank’s World Development Indicators. The variables include real Gross Domestic Product (GDP) as a proxy economic growth, real military expenditure (in nominal values deflated by the Consumer Price Index), and the real IDR/USD exchange rate.</w:t>
      </w:r>
    </w:p>
    <w:p w14:paraId="54CED1A9" w14:textId="77777777" w:rsidR="00FF43BB" w:rsidRDefault="009531EB" w:rsidP="00FF43BB">
      <w:pPr>
        <w:ind w:firstLine="360"/>
        <w:jc w:val="both"/>
        <w:rPr>
          <w:rFonts w:ascii="Garamond" w:hAnsi="Garamond"/>
        </w:rPr>
      </w:pPr>
      <w:r w:rsidRPr="009531EB">
        <w:rPr>
          <w:rFonts w:ascii="Garamond" w:hAnsi="Garamond"/>
        </w:rPr>
        <w:t xml:space="preserve">The choice of variables is grounded in three theoretical perspectives such as Keynesian, Wagnerian, and Mundell-Fleming, which collectively explain how </w:t>
      </w:r>
      <w:proofErr w:type="spellStart"/>
      <w:r w:rsidRPr="009531EB">
        <w:rPr>
          <w:rFonts w:ascii="Garamond" w:hAnsi="Garamond"/>
        </w:rPr>
        <w:t>defense</w:t>
      </w:r>
      <w:proofErr w:type="spellEnd"/>
      <w:r w:rsidRPr="009531EB">
        <w:rPr>
          <w:rFonts w:ascii="Garamond" w:hAnsi="Garamond"/>
        </w:rPr>
        <w:t xml:space="preserve"> spending interacts with macroeconomic performance and external stability. All variables are transformed into natural logarithmic form (ln) to stabilize variance and meet the assumptions of normality and linearity in time-series estimation.</w:t>
      </w:r>
    </w:p>
    <w:p w14:paraId="0CC55982" w14:textId="77777777" w:rsidR="00FF43BB" w:rsidRDefault="009531EB" w:rsidP="00FF43BB">
      <w:pPr>
        <w:ind w:firstLine="360"/>
        <w:jc w:val="both"/>
        <w:rPr>
          <w:rFonts w:ascii="Garamond" w:hAnsi="Garamond"/>
        </w:rPr>
      </w:pPr>
      <w:r w:rsidRPr="009531EB">
        <w:rPr>
          <w:rFonts w:ascii="Garamond" w:hAnsi="Garamond"/>
        </w:rPr>
        <w:t>The study employs the Johansen cointegration and Granger causality framework to capture both long-term equilibrium and short-term dynamic relationships. This approach is particularly appropriate when the variables are non-stationary in levels but stationary at their first differences [</w:t>
      </w:r>
      <w:proofErr w:type="gramStart"/>
      <w:r w:rsidRPr="009531EB">
        <w:rPr>
          <w:rFonts w:ascii="Garamond" w:hAnsi="Garamond"/>
        </w:rPr>
        <w:t>I(</w:t>
      </w:r>
      <w:proofErr w:type="gramEnd"/>
      <w:r w:rsidRPr="009531EB">
        <w:rPr>
          <w:rFonts w:ascii="Garamond" w:hAnsi="Garamond"/>
        </w:rPr>
        <w:t>1)], allowing the identification of stable cointegrating vectors among them</w:t>
      </w:r>
      <w:r w:rsidR="00FF43BB">
        <w:rPr>
          <w:rFonts w:ascii="Garamond" w:hAnsi="Garamond"/>
        </w:rPr>
        <w:t>.</w:t>
      </w:r>
    </w:p>
    <w:p w14:paraId="5F540B0A" w14:textId="786022B1" w:rsidR="00FF43BB" w:rsidRDefault="009531EB" w:rsidP="00FF43BB">
      <w:pPr>
        <w:ind w:firstLine="360"/>
        <w:jc w:val="both"/>
        <w:rPr>
          <w:rFonts w:ascii="Garamond" w:hAnsi="Garamond"/>
        </w:rPr>
      </w:pPr>
      <w:r w:rsidRPr="009531EB">
        <w:rPr>
          <w:rFonts w:ascii="Garamond" w:hAnsi="Garamond"/>
        </w:rPr>
        <w:t>The empirical procedure begins with testing the stationarity of each series using the Augmented Dickey Fuller (ADF) test to confirm that all variables are integrated of order one [</w:t>
      </w:r>
      <w:proofErr w:type="gramStart"/>
      <w:r w:rsidRPr="009531EB">
        <w:rPr>
          <w:rFonts w:ascii="Garamond" w:hAnsi="Garamond"/>
        </w:rPr>
        <w:t>I(</w:t>
      </w:r>
      <w:proofErr w:type="gramEnd"/>
      <w:r w:rsidRPr="009531EB">
        <w:rPr>
          <w:rFonts w:ascii="Garamond" w:hAnsi="Garamond"/>
        </w:rPr>
        <w:t xml:space="preserve">1)] (Gujarati, 2010). After establishing the order of integration, the optimal lag length is selected based on standard information criteria such as AIC, SC, and HQ. </w:t>
      </w:r>
      <w:r w:rsidR="00044302">
        <w:rPr>
          <w:rFonts w:ascii="Garamond" w:hAnsi="Garamond"/>
        </w:rPr>
        <w:t>Long-term</w:t>
      </w:r>
      <w:r w:rsidRPr="009531EB">
        <w:rPr>
          <w:rFonts w:ascii="Garamond" w:hAnsi="Garamond"/>
        </w:rPr>
        <w:t xml:space="preserve"> relationships among the variables are then assessed using the Johansen cointegration technique, using both the trace statistic and maximum eigenvalue statistic to determine the number of significant cointegrating vectors (</w:t>
      </w:r>
      <w:proofErr w:type="spellStart"/>
      <w:r w:rsidRPr="009531EB">
        <w:rPr>
          <w:rFonts w:ascii="Garamond" w:hAnsi="Garamond"/>
        </w:rPr>
        <w:t>Baltagi</w:t>
      </w:r>
      <w:proofErr w:type="spellEnd"/>
      <w:r w:rsidRPr="009531EB">
        <w:rPr>
          <w:rFonts w:ascii="Garamond" w:hAnsi="Garamond"/>
        </w:rPr>
        <w:t xml:space="preserve">, 2021). </w:t>
      </w:r>
    </w:p>
    <w:p w14:paraId="556EE0EC" w14:textId="0A07910B" w:rsidR="009531EB" w:rsidRDefault="009531EB" w:rsidP="00FF43BB">
      <w:pPr>
        <w:ind w:firstLine="360"/>
        <w:jc w:val="both"/>
        <w:rPr>
          <w:rFonts w:ascii="Garamond" w:hAnsi="Garamond"/>
        </w:rPr>
      </w:pPr>
      <w:r w:rsidRPr="009531EB">
        <w:rPr>
          <w:rFonts w:ascii="Garamond" w:hAnsi="Garamond"/>
        </w:rPr>
        <w:t>Finally, the Granger causality test is conducted within a vector error-correction framework to identify the direction of causality between variables (Engle &amp; Granger, 1987). The following equation represents the general form of the model:</w:t>
      </w:r>
    </w:p>
    <w:p w14:paraId="47A5D8E3" w14:textId="00DD2FCE" w:rsidR="006E47E8" w:rsidRPr="006E47E8" w:rsidRDefault="006E47E8" w:rsidP="006E47E8">
      <w:pPr>
        <w:jc w:val="both"/>
        <w:rPr>
          <w:rFonts w:ascii="Garamond" w:hAnsi="Garamond"/>
        </w:rPr>
      </w:pPr>
      <m:oMathPara>
        <m:oMath>
          <m:r>
            <w:rPr>
              <w:rFonts w:ascii="Cambria Math" w:hAnsi="Cambria Math"/>
            </w:rPr>
            <w:lastRenderedPageBreak/>
            <m:t>Ln</m:t>
          </m:r>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o</m:t>
              </m:r>
            </m:sub>
          </m:sSub>
          <m:r>
            <w:rPr>
              <w:rFonts w:ascii="Cambria Math" w:hAnsi="Cambria Math"/>
            </w:rPr>
            <m:t xml:space="preserve">+ </m:t>
          </m:r>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Ln</m:t>
          </m:r>
          <m:sSub>
            <m:sSubPr>
              <m:ctrlPr>
                <w:rPr>
                  <w:rFonts w:ascii="Cambria Math" w:hAnsi="Cambria Math"/>
                  <w:i/>
                </w:rPr>
              </m:ctrlPr>
            </m:sSubPr>
            <m:e>
              <m:r>
                <w:rPr>
                  <w:rFonts w:ascii="Cambria Math" w:hAnsi="Cambria Math"/>
                </w:rPr>
                <m:t>ME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Ln</m:t>
          </m:r>
          <m:sSub>
            <m:sSubPr>
              <m:ctrlPr>
                <w:rPr>
                  <w:rFonts w:ascii="Cambria Math" w:hAnsi="Cambria Math"/>
                  <w:i/>
                </w:rPr>
              </m:ctrlPr>
            </m:sSubPr>
            <m:e>
              <m:r>
                <w:rPr>
                  <w:rFonts w:ascii="Cambria Math" w:hAnsi="Cambria Math"/>
                </w:rPr>
                <m:t>ER</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p w14:paraId="1C7DE27F" w14:textId="34F6804A" w:rsidR="009531EB" w:rsidRDefault="009531EB" w:rsidP="006E47E8">
      <w:pPr>
        <w:ind w:firstLine="360"/>
        <w:jc w:val="both"/>
        <w:rPr>
          <w:rFonts w:ascii="Garamond" w:hAnsi="Garamond"/>
        </w:rPr>
      </w:pPr>
      <w:r w:rsidRPr="009531EB">
        <w:rPr>
          <w:rFonts w:ascii="Garamond" w:hAnsi="Garamond"/>
        </w:rPr>
        <w:t xml:space="preserve">Where </w:t>
      </w:r>
      <w:proofErr w:type="spellStart"/>
      <w:r w:rsidRPr="009531EB">
        <w:rPr>
          <w:rFonts w:ascii="Garamond" w:hAnsi="Garamond"/>
        </w:rPr>
        <w:t>Yt</w:t>
      </w:r>
      <w:proofErr w:type="spellEnd"/>
      <w:r w:rsidRPr="009531EB">
        <w:rPr>
          <w:rFonts w:ascii="Garamond" w:hAnsi="Garamond"/>
        </w:rPr>
        <w:t xml:space="preserve"> = real GDP in rupiah currency units, </w:t>
      </w:r>
      <w:proofErr w:type="spellStart"/>
      <w:proofErr w:type="gramStart"/>
      <w:r w:rsidRPr="009531EB">
        <w:rPr>
          <w:rFonts w:ascii="Garamond" w:hAnsi="Garamond"/>
        </w:rPr>
        <w:t>MEt</w:t>
      </w:r>
      <w:proofErr w:type="spellEnd"/>
      <w:proofErr w:type="gramEnd"/>
      <w:r w:rsidRPr="009531EB">
        <w:rPr>
          <w:rFonts w:ascii="Garamond" w:hAnsi="Garamond"/>
        </w:rPr>
        <w:t xml:space="preserve"> = military expenditure, ERt = IDR/USD exchange rate, </w:t>
      </w:r>
      <w:proofErr w:type="spellStart"/>
      <w:r w:rsidRPr="009531EB">
        <w:rPr>
          <w:rFonts w:ascii="Garamond" w:hAnsi="Garamond"/>
        </w:rPr>
        <w:t>ε_t</w:t>
      </w:r>
      <w:proofErr w:type="spellEnd"/>
      <w:r w:rsidRPr="009531EB">
        <w:rPr>
          <w:rFonts w:ascii="Garamond" w:hAnsi="Garamond"/>
        </w:rPr>
        <w:t xml:space="preserve"> is the stochastic error term. The estimations were conducted using EViews 10 software, complemented by diagnostic tests for serial correlation, heteroskedasticity, and model stability to ensure robustness and validity of the findings. The analysis is limited to annual aggregate data and does not distinguish between capital and recurrent components of </w:t>
      </w:r>
      <w:proofErr w:type="spellStart"/>
      <w:r w:rsidRPr="009531EB">
        <w:rPr>
          <w:rFonts w:ascii="Garamond" w:hAnsi="Garamond"/>
        </w:rPr>
        <w:t>defense</w:t>
      </w:r>
      <w:proofErr w:type="spellEnd"/>
      <w:r w:rsidRPr="009531EB">
        <w:rPr>
          <w:rFonts w:ascii="Garamond" w:hAnsi="Garamond"/>
        </w:rPr>
        <w:t xml:space="preserve"> spending due to data </w:t>
      </w:r>
      <w:proofErr w:type="spellStart"/>
      <w:r w:rsidRPr="009531EB">
        <w:rPr>
          <w:rFonts w:ascii="Garamond" w:hAnsi="Garamond"/>
        </w:rPr>
        <w:t>contraints</w:t>
      </w:r>
      <w:proofErr w:type="spellEnd"/>
      <w:r w:rsidRPr="009531EB">
        <w:rPr>
          <w:rFonts w:ascii="Garamond" w:hAnsi="Garamond"/>
        </w:rPr>
        <w:t>.</w:t>
      </w:r>
    </w:p>
    <w:p w14:paraId="06DA24DC" w14:textId="6B0F485B" w:rsidR="001103C1" w:rsidRPr="001103C1" w:rsidRDefault="001103C1" w:rsidP="001103C1">
      <w:pPr>
        <w:ind w:firstLine="360"/>
        <w:jc w:val="center"/>
        <w:rPr>
          <w:rFonts w:ascii="Garamond" w:hAnsi="Garamond"/>
          <w:b/>
          <w:bCs/>
        </w:rPr>
      </w:pPr>
      <w:r w:rsidRPr="001103C1">
        <w:rPr>
          <w:rFonts w:ascii="Garamond" w:hAnsi="Garamond"/>
          <w:b/>
          <w:bCs/>
        </w:rPr>
        <w:t>Table 1. Description of Variables</w:t>
      </w:r>
    </w:p>
    <w:tbl>
      <w:tblPr>
        <w:tblStyle w:val="PlainTable1"/>
        <w:tblW w:w="0" w:type="auto"/>
        <w:jc w:val="center"/>
        <w:tblLook w:val="04A0" w:firstRow="1" w:lastRow="0" w:firstColumn="1" w:lastColumn="0" w:noHBand="0" w:noVBand="1"/>
      </w:tblPr>
      <w:tblGrid>
        <w:gridCol w:w="1879"/>
        <w:gridCol w:w="4445"/>
        <w:gridCol w:w="2508"/>
        <w:gridCol w:w="904"/>
      </w:tblGrid>
      <w:tr w:rsidR="00625438" w:rsidRPr="00492D4C" w14:paraId="69938846" w14:textId="2B1018AD" w:rsidTr="00F42E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F5B35E" w14:textId="13B26C12" w:rsidR="00625438" w:rsidRPr="00492D4C" w:rsidRDefault="00625438" w:rsidP="00625438">
            <w:pPr>
              <w:spacing w:after="160"/>
              <w:contextualSpacing/>
              <w:jc w:val="center"/>
              <w:rPr>
                <w:rFonts w:ascii="Garamond" w:hAnsi="Garamond"/>
              </w:rPr>
            </w:pPr>
            <w:r>
              <w:rPr>
                <w:rFonts w:ascii="Garamond" w:hAnsi="Garamond"/>
              </w:rPr>
              <w:t>Variable</w:t>
            </w:r>
          </w:p>
        </w:tc>
        <w:tc>
          <w:tcPr>
            <w:tcW w:w="0" w:type="auto"/>
            <w:hideMark/>
          </w:tcPr>
          <w:p w14:paraId="42EF08F8" w14:textId="392D16F8" w:rsidR="00625438" w:rsidRPr="00492D4C" w:rsidRDefault="00625438" w:rsidP="0062543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Definition</w:t>
            </w:r>
          </w:p>
        </w:tc>
        <w:tc>
          <w:tcPr>
            <w:tcW w:w="0" w:type="auto"/>
            <w:hideMark/>
          </w:tcPr>
          <w:p w14:paraId="6737FA8B" w14:textId="7E23A2DB" w:rsidR="00625438" w:rsidRPr="00492D4C" w:rsidRDefault="00625438" w:rsidP="0062543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Measurement</w:t>
            </w:r>
          </w:p>
        </w:tc>
        <w:tc>
          <w:tcPr>
            <w:tcW w:w="0" w:type="auto"/>
          </w:tcPr>
          <w:p w14:paraId="238F6B95" w14:textId="0356C68E" w:rsidR="00625438" w:rsidRPr="00492D4C" w:rsidRDefault="00625438" w:rsidP="00625438">
            <w:pPr>
              <w:spacing w:after="160"/>
              <w:contextualSpacing/>
              <w:jc w:val="cente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Source</w:t>
            </w:r>
          </w:p>
        </w:tc>
      </w:tr>
      <w:tr w:rsidR="00625438" w:rsidRPr="00492D4C" w14:paraId="2EBBDC06" w14:textId="501EF896" w:rsidTr="00F42E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DFE734" w14:textId="363FD77B" w:rsidR="00625438" w:rsidRPr="00492D4C" w:rsidRDefault="00625438" w:rsidP="00C93B4E">
            <w:pPr>
              <w:spacing w:after="160"/>
              <w:contextualSpacing/>
              <w:jc w:val="both"/>
              <w:rPr>
                <w:rFonts w:ascii="Garamond" w:hAnsi="Garamond"/>
              </w:rPr>
            </w:pPr>
            <w:r>
              <w:rPr>
                <w:rFonts w:ascii="Garamond" w:hAnsi="Garamond"/>
              </w:rPr>
              <w:t>Economic Growth (Y)</w:t>
            </w:r>
          </w:p>
        </w:tc>
        <w:tc>
          <w:tcPr>
            <w:tcW w:w="0" w:type="auto"/>
            <w:hideMark/>
          </w:tcPr>
          <w:p w14:paraId="37B5A6CF" w14:textId="68A09E4C" w:rsidR="00625438" w:rsidRPr="00492D4C" w:rsidRDefault="00625438" w:rsidP="00C93B4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625438">
              <w:rPr>
                <w:rFonts w:ascii="Garamond" w:hAnsi="Garamond"/>
              </w:rPr>
              <w:t>Economic growth is measured as real GDP at constant prices. It reflects the value of all final goods and services produced in a country</w:t>
            </w:r>
            <w:r>
              <w:rPr>
                <w:rFonts w:ascii="Garamond" w:hAnsi="Garamond"/>
              </w:rPr>
              <w:t>.</w:t>
            </w:r>
          </w:p>
        </w:tc>
        <w:tc>
          <w:tcPr>
            <w:tcW w:w="0" w:type="auto"/>
            <w:hideMark/>
          </w:tcPr>
          <w:p w14:paraId="4ECD22C6" w14:textId="7F55393F" w:rsidR="00625438" w:rsidRPr="00492D4C" w:rsidRDefault="00625438" w:rsidP="00FD4C87">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625438">
              <w:rPr>
                <w:rFonts w:ascii="Garamond" w:hAnsi="Garamond"/>
              </w:rPr>
              <w:t>Rupiah</w:t>
            </w:r>
          </w:p>
        </w:tc>
        <w:tc>
          <w:tcPr>
            <w:tcW w:w="0" w:type="auto"/>
          </w:tcPr>
          <w:p w14:paraId="4F337AF1" w14:textId="195C7087" w:rsidR="00625438" w:rsidRPr="00492D4C" w:rsidRDefault="00625438" w:rsidP="00C93B4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rPr>
            </w:pPr>
            <w:r>
              <w:rPr>
                <w:rFonts w:ascii="Garamond" w:hAnsi="Garamond"/>
              </w:rPr>
              <w:t>WDI</w:t>
            </w:r>
          </w:p>
        </w:tc>
      </w:tr>
      <w:tr w:rsidR="00625438" w:rsidRPr="00492D4C" w14:paraId="66771106" w14:textId="05005156" w:rsidTr="00F42E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F4A0B4" w14:textId="06DA6323" w:rsidR="00625438" w:rsidRPr="00492D4C" w:rsidRDefault="00625438" w:rsidP="00C93B4E">
            <w:pPr>
              <w:spacing w:after="160"/>
              <w:contextualSpacing/>
              <w:jc w:val="both"/>
              <w:rPr>
                <w:rFonts w:ascii="Garamond" w:hAnsi="Garamond"/>
              </w:rPr>
            </w:pPr>
            <w:r>
              <w:rPr>
                <w:rFonts w:ascii="Garamond" w:hAnsi="Garamond"/>
              </w:rPr>
              <w:t xml:space="preserve">Military </w:t>
            </w:r>
            <w:proofErr w:type="spellStart"/>
            <w:r>
              <w:rPr>
                <w:rFonts w:ascii="Garamond" w:hAnsi="Garamond"/>
              </w:rPr>
              <w:t>Exoenditure</w:t>
            </w:r>
            <w:proofErr w:type="spellEnd"/>
            <w:r>
              <w:rPr>
                <w:rFonts w:ascii="Garamond" w:hAnsi="Garamond"/>
              </w:rPr>
              <w:t xml:space="preserve"> (ME)</w:t>
            </w:r>
          </w:p>
        </w:tc>
        <w:tc>
          <w:tcPr>
            <w:tcW w:w="0" w:type="auto"/>
            <w:hideMark/>
          </w:tcPr>
          <w:p w14:paraId="7EC60103" w14:textId="4EB856D2" w:rsidR="00625438" w:rsidRPr="00492D4C" w:rsidRDefault="00625438" w:rsidP="00C93B4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625438">
              <w:rPr>
                <w:rFonts w:ascii="Garamond" w:hAnsi="Garamond"/>
              </w:rPr>
              <w:t>Total military expenditure. Nominal value is deflated using the Consumer Price Index (CPI) to reflect real value</w:t>
            </w:r>
            <w:r>
              <w:rPr>
                <w:rFonts w:ascii="Garamond" w:hAnsi="Garamond"/>
              </w:rPr>
              <w:t>.</w:t>
            </w:r>
          </w:p>
        </w:tc>
        <w:tc>
          <w:tcPr>
            <w:tcW w:w="0" w:type="auto"/>
            <w:hideMark/>
          </w:tcPr>
          <w:p w14:paraId="0D21D863" w14:textId="1253F0B4" w:rsidR="00625438" w:rsidRPr="00492D4C" w:rsidRDefault="00625438" w:rsidP="00FD4C87">
            <w:pPr>
              <w:spacing w:after="160"/>
              <w:contextualSpacing/>
              <w:jc w:val="center"/>
              <w:cnfStyle w:val="000000000000" w:firstRow="0" w:lastRow="0" w:firstColumn="0" w:lastColumn="0" w:oddVBand="0" w:evenVBand="0" w:oddHBand="0" w:evenHBand="0" w:firstRowFirstColumn="0" w:firstRowLastColumn="0" w:lastRowFirstColumn="0" w:lastRowLastColumn="0"/>
              <w:rPr>
                <w:rFonts w:ascii="Garamond" w:hAnsi="Garamond"/>
              </w:rPr>
            </w:pPr>
            <w:r w:rsidRPr="00625438">
              <w:rPr>
                <w:rFonts w:ascii="Garamond" w:hAnsi="Garamond"/>
              </w:rPr>
              <w:t>Real Rp (constant prices based on CPI, 2015=100)</w:t>
            </w:r>
          </w:p>
        </w:tc>
        <w:tc>
          <w:tcPr>
            <w:tcW w:w="0" w:type="auto"/>
          </w:tcPr>
          <w:p w14:paraId="783D054A" w14:textId="6D415F4A" w:rsidR="00625438" w:rsidRPr="00492D4C" w:rsidRDefault="00625438" w:rsidP="00C93B4E">
            <w:pPr>
              <w:spacing w:after="160"/>
              <w:contextualSpacing/>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WDI</w:t>
            </w:r>
          </w:p>
        </w:tc>
      </w:tr>
      <w:tr w:rsidR="00625438" w:rsidRPr="00492D4C" w14:paraId="41F6B79B" w14:textId="77777777" w:rsidTr="00F42E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A10D86B" w14:textId="0FE07D81" w:rsidR="00625438" w:rsidRPr="00492D4C" w:rsidRDefault="00625438" w:rsidP="00C93B4E">
            <w:pPr>
              <w:spacing w:after="160"/>
              <w:contextualSpacing/>
              <w:jc w:val="both"/>
              <w:rPr>
                <w:rFonts w:ascii="Garamond" w:hAnsi="Garamond"/>
              </w:rPr>
            </w:pPr>
            <w:r>
              <w:rPr>
                <w:rFonts w:ascii="Garamond" w:hAnsi="Garamond"/>
              </w:rPr>
              <w:t>Exchange Rate (ER)</w:t>
            </w:r>
          </w:p>
        </w:tc>
        <w:tc>
          <w:tcPr>
            <w:tcW w:w="0" w:type="auto"/>
          </w:tcPr>
          <w:p w14:paraId="134B5146" w14:textId="0C8FB756" w:rsidR="00625438" w:rsidRPr="00492D4C" w:rsidRDefault="00625438" w:rsidP="00C93B4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625438">
              <w:rPr>
                <w:rFonts w:ascii="Garamond" w:hAnsi="Garamond"/>
              </w:rPr>
              <w:t>Official exchange rate between the rupiah and the US dollar, using the annual average.</w:t>
            </w:r>
          </w:p>
        </w:tc>
        <w:tc>
          <w:tcPr>
            <w:tcW w:w="0" w:type="auto"/>
          </w:tcPr>
          <w:p w14:paraId="4B799A15" w14:textId="0C83FA6D" w:rsidR="00625438" w:rsidRPr="00492D4C" w:rsidRDefault="00625438" w:rsidP="00FD4C87">
            <w:pPr>
              <w:spacing w:after="160"/>
              <w:contextualSpacing/>
              <w:jc w:val="center"/>
              <w:cnfStyle w:val="000000100000" w:firstRow="0" w:lastRow="0" w:firstColumn="0" w:lastColumn="0" w:oddVBand="0" w:evenVBand="0" w:oddHBand="1" w:evenHBand="0" w:firstRowFirstColumn="0" w:firstRowLastColumn="0" w:lastRowFirstColumn="0" w:lastRowLastColumn="0"/>
              <w:rPr>
                <w:rFonts w:ascii="Garamond" w:hAnsi="Garamond"/>
              </w:rPr>
            </w:pPr>
            <w:r w:rsidRPr="00625438">
              <w:rPr>
                <w:rFonts w:ascii="Garamond" w:hAnsi="Garamond"/>
              </w:rPr>
              <w:t>Rp/US$</w:t>
            </w:r>
          </w:p>
        </w:tc>
        <w:tc>
          <w:tcPr>
            <w:tcW w:w="0" w:type="auto"/>
          </w:tcPr>
          <w:p w14:paraId="1319058D" w14:textId="2D1CCFF9" w:rsidR="00625438" w:rsidRPr="00492D4C" w:rsidRDefault="00625438" w:rsidP="00C93B4E">
            <w:pPr>
              <w:spacing w:after="160"/>
              <w:contextualSpacing/>
              <w:jc w:val="both"/>
              <w:cnfStyle w:val="000000100000" w:firstRow="0" w:lastRow="0" w:firstColumn="0" w:lastColumn="0" w:oddVBand="0" w:evenVBand="0" w:oddHBand="1" w:evenHBand="0" w:firstRowFirstColumn="0" w:firstRowLastColumn="0" w:lastRowFirstColumn="0" w:lastRowLastColumn="0"/>
              <w:rPr>
                <w:rFonts w:ascii="Garamond" w:hAnsi="Garamond"/>
              </w:rPr>
            </w:pPr>
            <w:r>
              <w:rPr>
                <w:rFonts w:ascii="Garamond" w:hAnsi="Garamond"/>
              </w:rPr>
              <w:t>WDI</w:t>
            </w:r>
          </w:p>
        </w:tc>
      </w:tr>
    </w:tbl>
    <w:p w14:paraId="4E0C3CC9" w14:textId="77777777" w:rsidR="001103C1" w:rsidRPr="009531EB" w:rsidRDefault="001103C1" w:rsidP="001103C1">
      <w:pPr>
        <w:jc w:val="both"/>
        <w:rPr>
          <w:rFonts w:ascii="Garamond" w:hAnsi="Garamond"/>
        </w:rPr>
      </w:pPr>
    </w:p>
    <w:p w14:paraId="77381F78" w14:textId="6CFE1D4D" w:rsidR="009162A6" w:rsidRPr="009162A6" w:rsidRDefault="00625438" w:rsidP="009162A6">
      <w:pPr>
        <w:pStyle w:val="ListParagraph"/>
        <w:numPr>
          <w:ilvl w:val="0"/>
          <w:numId w:val="79"/>
        </w:numPr>
        <w:jc w:val="both"/>
        <w:rPr>
          <w:rFonts w:ascii="Garamond" w:hAnsi="Garamond"/>
        </w:rPr>
      </w:pPr>
      <w:r>
        <w:rPr>
          <w:rFonts w:ascii="Garamond" w:hAnsi="Garamond"/>
          <w:b/>
          <w:bCs/>
        </w:rPr>
        <w:t>RESULT</w:t>
      </w:r>
      <w:r w:rsidR="003C1CF5">
        <w:rPr>
          <w:rFonts w:ascii="Garamond" w:hAnsi="Garamond"/>
          <w:b/>
          <w:bCs/>
        </w:rPr>
        <w:t>S</w:t>
      </w:r>
      <w:r>
        <w:rPr>
          <w:rFonts w:ascii="Garamond" w:hAnsi="Garamond"/>
          <w:b/>
          <w:bCs/>
        </w:rPr>
        <w:t xml:space="preserve"> AND </w:t>
      </w:r>
      <w:r w:rsidR="003259C2">
        <w:rPr>
          <w:rFonts w:ascii="Garamond" w:hAnsi="Garamond"/>
          <w:b/>
          <w:bCs/>
        </w:rPr>
        <w:t>DISCUSSION</w:t>
      </w:r>
      <w:r w:rsidR="003C1CF5">
        <w:rPr>
          <w:rFonts w:ascii="Garamond" w:hAnsi="Garamond"/>
          <w:b/>
          <w:bCs/>
        </w:rPr>
        <w:t>S</w:t>
      </w:r>
    </w:p>
    <w:p w14:paraId="3485592B" w14:textId="6BB6FAAC" w:rsidR="003C1CF5" w:rsidRPr="003C1CF5" w:rsidRDefault="003C1CF5" w:rsidP="003C1CF5">
      <w:pPr>
        <w:jc w:val="both"/>
        <w:rPr>
          <w:rFonts w:ascii="Garamond" w:hAnsi="Garamond"/>
          <w:b/>
          <w:bCs/>
        </w:rPr>
      </w:pPr>
      <w:r w:rsidRPr="003C1CF5">
        <w:rPr>
          <w:rFonts w:ascii="Garamond" w:hAnsi="Garamond"/>
          <w:b/>
          <w:bCs/>
        </w:rPr>
        <w:t>Result</w:t>
      </w:r>
      <w:r>
        <w:rPr>
          <w:rFonts w:ascii="Garamond" w:hAnsi="Garamond"/>
          <w:b/>
          <w:bCs/>
        </w:rPr>
        <w:t>s</w:t>
      </w:r>
    </w:p>
    <w:p w14:paraId="785C30B9" w14:textId="5FAE15C0" w:rsidR="009162A6" w:rsidRPr="009162A6" w:rsidRDefault="009162A6" w:rsidP="009162A6">
      <w:pPr>
        <w:ind w:firstLine="360"/>
        <w:jc w:val="both"/>
        <w:rPr>
          <w:rFonts w:ascii="Garamond" w:hAnsi="Garamond"/>
        </w:rPr>
      </w:pPr>
      <w:r w:rsidRPr="009162A6">
        <w:rPr>
          <w:rFonts w:ascii="Garamond" w:hAnsi="Garamond"/>
        </w:rPr>
        <w:t>Table 2 reports descriptive statistics for all observed variables. Notably, military expenditure displays the largest dispersion, with a standard deviation of 0.50, whereas the exchange-rate variable exhibits the smallest variation, at 0.22. This pattern suggests that, relative to the other indicators, the exchange rate remained comparatively stable over the sample period. The skewness results for the three variables are close to zero, indicating that the data distribution tends to be symmetrical, with the military expenditure variable slightly skewed to the left and the exchange rate variable slightly skewed to the right. The Jarque-Bera statistics and probability values (&gt;0.05) indicate that all three variables conform to a normal distribution.</w:t>
      </w:r>
    </w:p>
    <w:p w14:paraId="31D50DEF" w14:textId="5C011CA0" w:rsidR="0049362A" w:rsidRPr="006347C9" w:rsidRDefault="0049362A" w:rsidP="006347C9">
      <w:pPr>
        <w:jc w:val="center"/>
        <w:rPr>
          <w:rFonts w:ascii="Garamond" w:hAnsi="Garamond"/>
          <w:b/>
          <w:bCs/>
        </w:rPr>
      </w:pPr>
      <w:r w:rsidRPr="006347C9">
        <w:rPr>
          <w:rFonts w:ascii="Garamond" w:hAnsi="Garamond"/>
          <w:b/>
          <w:bCs/>
        </w:rPr>
        <w:t>Table 2. Descriptive Statistics</w:t>
      </w:r>
    </w:p>
    <w:tbl>
      <w:tblPr>
        <w:tblStyle w:val="PlainTable1"/>
        <w:tblW w:w="5000" w:type="pct"/>
        <w:tblLook w:val="04A0" w:firstRow="1" w:lastRow="0" w:firstColumn="1" w:lastColumn="0" w:noHBand="0" w:noVBand="1"/>
      </w:tblPr>
      <w:tblGrid>
        <w:gridCol w:w="2898"/>
        <w:gridCol w:w="2274"/>
        <w:gridCol w:w="2130"/>
        <w:gridCol w:w="2434"/>
      </w:tblGrid>
      <w:tr w:rsidR="00FA71B9" w:rsidRPr="00FA71B9" w14:paraId="1B522828" w14:textId="77777777" w:rsidTr="00FA71B9">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tcPr>
          <w:p w14:paraId="729198EC" w14:textId="77777777" w:rsidR="00FA71B9" w:rsidRPr="00FA71B9" w:rsidRDefault="00FA71B9" w:rsidP="00FA71B9">
            <w:pPr>
              <w:jc w:val="both"/>
              <w:rPr>
                <w:rFonts w:ascii="Garamond" w:hAnsi="Garamond"/>
                <w:b w:val="0"/>
                <w:bCs w:val="0"/>
                <w:lang w:val="en-US"/>
              </w:rPr>
            </w:pPr>
          </w:p>
        </w:tc>
        <w:tc>
          <w:tcPr>
            <w:tcW w:w="1168" w:type="pct"/>
            <w:hideMark/>
          </w:tcPr>
          <w:p w14:paraId="56A47A36" w14:textId="77777777" w:rsidR="00FA71B9" w:rsidRPr="00FA71B9" w:rsidRDefault="00FA71B9" w:rsidP="00C7155A">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LNY</w:t>
            </w:r>
          </w:p>
        </w:tc>
        <w:tc>
          <w:tcPr>
            <w:tcW w:w="1094" w:type="pct"/>
            <w:hideMark/>
          </w:tcPr>
          <w:p w14:paraId="7EF159C8" w14:textId="77777777" w:rsidR="00FA71B9" w:rsidRPr="00FA71B9" w:rsidRDefault="00FA71B9" w:rsidP="00C7155A">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LNME</w:t>
            </w:r>
          </w:p>
        </w:tc>
        <w:tc>
          <w:tcPr>
            <w:tcW w:w="1250" w:type="pct"/>
            <w:hideMark/>
          </w:tcPr>
          <w:p w14:paraId="0C0E4AA4" w14:textId="77777777" w:rsidR="00FA71B9" w:rsidRPr="00FA71B9" w:rsidRDefault="00FA71B9" w:rsidP="00C7155A">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LNER</w:t>
            </w:r>
          </w:p>
        </w:tc>
      </w:tr>
      <w:tr w:rsidR="00FA71B9" w:rsidRPr="00FA71B9" w14:paraId="0F4B1C17"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39DB514F" w14:textId="77777777" w:rsidR="00FA71B9" w:rsidRPr="00FA71B9" w:rsidRDefault="00FA71B9" w:rsidP="00FA71B9">
            <w:pPr>
              <w:jc w:val="both"/>
              <w:rPr>
                <w:rFonts w:ascii="Garamond" w:hAnsi="Garamond"/>
                <w:lang w:val="en-US"/>
              </w:rPr>
            </w:pPr>
            <w:r w:rsidRPr="00FA71B9">
              <w:rPr>
                <w:rFonts w:ascii="Garamond" w:hAnsi="Garamond"/>
                <w:lang w:val="en-US"/>
              </w:rPr>
              <w:t> Mean</w:t>
            </w:r>
          </w:p>
        </w:tc>
        <w:tc>
          <w:tcPr>
            <w:tcW w:w="1168" w:type="pct"/>
            <w:hideMark/>
          </w:tcPr>
          <w:p w14:paraId="2DCB282E" w14:textId="60C41FC8"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36.52719</w:t>
            </w:r>
          </w:p>
        </w:tc>
        <w:tc>
          <w:tcPr>
            <w:tcW w:w="1094" w:type="pct"/>
            <w:hideMark/>
          </w:tcPr>
          <w:p w14:paraId="65D13670" w14:textId="5F04139F"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31.52276</w:t>
            </w:r>
          </w:p>
        </w:tc>
        <w:tc>
          <w:tcPr>
            <w:tcW w:w="1250" w:type="pct"/>
            <w:hideMark/>
          </w:tcPr>
          <w:p w14:paraId="26225CB4" w14:textId="3A719E0B"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9.308859</w:t>
            </w:r>
          </w:p>
        </w:tc>
      </w:tr>
      <w:tr w:rsidR="00FA71B9" w:rsidRPr="00FA71B9" w14:paraId="1A363F82"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4F8168C2" w14:textId="77777777" w:rsidR="00FA71B9" w:rsidRPr="00FA71B9" w:rsidRDefault="00FA71B9" w:rsidP="00FA71B9">
            <w:pPr>
              <w:jc w:val="both"/>
              <w:rPr>
                <w:rFonts w:ascii="Garamond" w:hAnsi="Garamond"/>
                <w:lang w:val="en-US"/>
              </w:rPr>
            </w:pPr>
            <w:r w:rsidRPr="00FA71B9">
              <w:rPr>
                <w:rFonts w:ascii="Garamond" w:hAnsi="Garamond"/>
                <w:lang w:val="en-US"/>
              </w:rPr>
              <w:t> Median</w:t>
            </w:r>
          </w:p>
        </w:tc>
        <w:tc>
          <w:tcPr>
            <w:tcW w:w="1168" w:type="pct"/>
            <w:hideMark/>
          </w:tcPr>
          <w:p w14:paraId="329CC27A" w14:textId="33C8D953"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36.55423</w:t>
            </w:r>
          </w:p>
        </w:tc>
        <w:tc>
          <w:tcPr>
            <w:tcW w:w="1094" w:type="pct"/>
            <w:hideMark/>
          </w:tcPr>
          <w:p w14:paraId="42DDA0A8" w14:textId="3B460A03"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31.58371</w:t>
            </w:r>
          </w:p>
        </w:tc>
        <w:tc>
          <w:tcPr>
            <w:tcW w:w="1250" w:type="pct"/>
            <w:hideMark/>
          </w:tcPr>
          <w:p w14:paraId="4B691ACE" w14:textId="08FAEC29"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9.242342</w:t>
            </w:r>
          </w:p>
        </w:tc>
      </w:tr>
      <w:tr w:rsidR="00FA71B9" w:rsidRPr="00FA71B9" w14:paraId="767B2B27"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2E2F1C91" w14:textId="77777777" w:rsidR="00FA71B9" w:rsidRPr="00FA71B9" w:rsidRDefault="00FA71B9" w:rsidP="00FA71B9">
            <w:pPr>
              <w:jc w:val="both"/>
              <w:rPr>
                <w:rFonts w:ascii="Garamond" w:hAnsi="Garamond"/>
                <w:lang w:val="en-US"/>
              </w:rPr>
            </w:pPr>
            <w:r w:rsidRPr="00FA71B9">
              <w:rPr>
                <w:rFonts w:ascii="Garamond" w:hAnsi="Garamond"/>
                <w:lang w:val="en-US"/>
              </w:rPr>
              <w:t> Maximum</w:t>
            </w:r>
          </w:p>
        </w:tc>
        <w:tc>
          <w:tcPr>
            <w:tcW w:w="1168" w:type="pct"/>
            <w:hideMark/>
          </w:tcPr>
          <w:p w14:paraId="6067C54F" w14:textId="1D4296EC"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37.04850</w:t>
            </w:r>
          </w:p>
        </w:tc>
        <w:tc>
          <w:tcPr>
            <w:tcW w:w="1094" w:type="pct"/>
            <w:hideMark/>
          </w:tcPr>
          <w:p w14:paraId="0809515A" w14:textId="1EA48DCA"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32.15556</w:t>
            </w:r>
          </w:p>
        </w:tc>
        <w:tc>
          <w:tcPr>
            <w:tcW w:w="1250" w:type="pct"/>
            <w:hideMark/>
          </w:tcPr>
          <w:p w14:paraId="6882A184" w14:textId="29E03EBF"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9.631474</w:t>
            </w:r>
          </w:p>
        </w:tc>
      </w:tr>
      <w:tr w:rsidR="00FA71B9" w:rsidRPr="00FA71B9" w14:paraId="0C6A6499"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6E336E14" w14:textId="77777777" w:rsidR="00FA71B9" w:rsidRPr="00FA71B9" w:rsidRDefault="00FA71B9" w:rsidP="00FA71B9">
            <w:pPr>
              <w:jc w:val="both"/>
              <w:rPr>
                <w:rFonts w:ascii="Garamond" w:hAnsi="Garamond"/>
                <w:lang w:val="en-US"/>
              </w:rPr>
            </w:pPr>
            <w:r w:rsidRPr="00FA71B9">
              <w:rPr>
                <w:rFonts w:ascii="Garamond" w:hAnsi="Garamond"/>
                <w:lang w:val="en-US"/>
              </w:rPr>
              <w:t> Minimum</w:t>
            </w:r>
          </w:p>
        </w:tc>
        <w:tc>
          <w:tcPr>
            <w:tcW w:w="1168" w:type="pct"/>
            <w:hideMark/>
          </w:tcPr>
          <w:p w14:paraId="4612D94B" w14:textId="1AD4005A"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35.95505</w:t>
            </w:r>
          </w:p>
        </w:tc>
        <w:tc>
          <w:tcPr>
            <w:tcW w:w="1094" w:type="pct"/>
            <w:hideMark/>
          </w:tcPr>
          <w:p w14:paraId="5C26FEF7" w14:textId="521E43CD"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30.58668</w:t>
            </w:r>
          </w:p>
        </w:tc>
        <w:tc>
          <w:tcPr>
            <w:tcW w:w="1250" w:type="pct"/>
            <w:hideMark/>
          </w:tcPr>
          <w:p w14:paraId="5F103913" w14:textId="6E1BF7C5"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9.038576</w:t>
            </w:r>
          </w:p>
        </w:tc>
      </w:tr>
      <w:tr w:rsidR="00FA71B9" w:rsidRPr="00FA71B9" w14:paraId="606A8DD5"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68A1FB20" w14:textId="77777777" w:rsidR="00FA71B9" w:rsidRPr="00FA71B9" w:rsidRDefault="00FA71B9" w:rsidP="00FA71B9">
            <w:pPr>
              <w:jc w:val="both"/>
              <w:rPr>
                <w:rFonts w:ascii="Garamond" w:hAnsi="Garamond"/>
                <w:lang w:val="en-US"/>
              </w:rPr>
            </w:pPr>
            <w:r w:rsidRPr="00FA71B9">
              <w:rPr>
                <w:rFonts w:ascii="Garamond" w:hAnsi="Garamond"/>
                <w:lang w:val="en-US"/>
              </w:rPr>
              <w:t> Std. Dev.</w:t>
            </w:r>
          </w:p>
        </w:tc>
        <w:tc>
          <w:tcPr>
            <w:tcW w:w="1168" w:type="pct"/>
            <w:hideMark/>
          </w:tcPr>
          <w:p w14:paraId="292BE7A6" w14:textId="41FD3AC6"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0.352763</w:t>
            </w:r>
          </w:p>
        </w:tc>
        <w:tc>
          <w:tcPr>
            <w:tcW w:w="1094" w:type="pct"/>
            <w:hideMark/>
          </w:tcPr>
          <w:p w14:paraId="146289CC" w14:textId="2AC4A1A9"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0.500218</w:t>
            </w:r>
          </w:p>
        </w:tc>
        <w:tc>
          <w:tcPr>
            <w:tcW w:w="1250" w:type="pct"/>
            <w:hideMark/>
          </w:tcPr>
          <w:p w14:paraId="234D1D52" w14:textId="547AA12B"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0.210624</w:t>
            </w:r>
          </w:p>
        </w:tc>
      </w:tr>
      <w:tr w:rsidR="00FA71B9" w:rsidRPr="00FA71B9" w14:paraId="4DB16B4A"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72D0034F" w14:textId="77777777" w:rsidR="00FA71B9" w:rsidRPr="00FA71B9" w:rsidRDefault="00FA71B9" w:rsidP="00FA71B9">
            <w:pPr>
              <w:jc w:val="both"/>
              <w:rPr>
                <w:rFonts w:ascii="Garamond" w:hAnsi="Garamond"/>
                <w:lang w:val="en-US"/>
              </w:rPr>
            </w:pPr>
            <w:r w:rsidRPr="00FA71B9">
              <w:rPr>
                <w:rFonts w:ascii="Garamond" w:hAnsi="Garamond"/>
                <w:lang w:val="en-US"/>
              </w:rPr>
              <w:t> Skewness</w:t>
            </w:r>
          </w:p>
        </w:tc>
        <w:tc>
          <w:tcPr>
            <w:tcW w:w="1168" w:type="pct"/>
            <w:hideMark/>
          </w:tcPr>
          <w:p w14:paraId="311BF339" w14:textId="77777777"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-0.146557</w:t>
            </w:r>
          </w:p>
        </w:tc>
        <w:tc>
          <w:tcPr>
            <w:tcW w:w="1094" w:type="pct"/>
            <w:hideMark/>
          </w:tcPr>
          <w:p w14:paraId="184E9F8F" w14:textId="77777777"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-0.326995</w:t>
            </w:r>
          </w:p>
        </w:tc>
        <w:tc>
          <w:tcPr>
            <w:tcW w:w="1250" w:type="pct"/>
            <w:hideMark/>
          </w:tcPr>
          <w:p w14:paraId="1B4C003A" w14:textId="7F85C11D"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0.286557</w:t>
            </w:r>
          </w:p>
        </w:tc>
      </w:tr>
      <w:tr w:rsidR="00FA71B9" w:rsidRPr="00FA71B9" w14:paraId="67886031"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2A6DD4E5" w14:textId="77777777" w:rsidR="00FA71B9" w:rsidRPr="00FA71B9" w:rsidRDefault="00FA71B9" w:rsidP="00FA71B9">
            <w:pPr>
              <w:jc w:val="both"/>
              <w:rPr>
                <w:rFonts w:ascii="Garamond" w:hAnsi="Garamond"/>
                <w:lang w:val="en-US"/>
              </w:rPr>
            </w:pPr>
            <w:r w:rsidRPr="00FA71B9">
              <w:rPr>
                <w:rFonts w:ascii="Garamond" w:hAnsi="Garamond"/>
                <w:lang w:val="en-US"/>
              </w:rPr>
              <w:t> Kurtosis</w:t>
            </w:r>
          </w:p>
        </w:tc>
        <w:tc>
          <w:tcPr>
            <w:tcW w:w="1168" w:type="pct"/>
            <w:hideMark/>
          </w:tcPr>
          <w:p w14:paraId="528D14F4" w14:textId="494E7536"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1.675452</w:t>
            </w:r>
          </w:p>
        </w:tc>
        <w:tc>
          <w:tcPr>
            <w:tcW w:w="1094" w:type="pct"/>
            <w:hideMark/>
          </w:tcPr>
          <w:p w14:paraId="0969C496" w14:textId="61F3863C"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1.734876</w:t>
            </w:r>
          </w:p>
        </w:tc>
        <w:tc>
          <w:tcPr>
            <w:tcW w:w="1250" w:type="pct"/>
            <w:hideMark/>
          </w:tcPr>
          <w:p w14:paraId="39A77034" w14:textId="5671A208"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1.414565</w:t>
            </w:r>
          </w:p>
        </w:tc>
      </w:tr>
      <w:tr w:rsidR="00FA71B9" w:rsidRPr="00FA71B9" w14:paraId="08908ABF"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75DF27D1" w14:textId="77777777" w:rsidR="00FA71B9" w:rsidRPr="00FA71B9" w:rsidRDefault="00FA71B9" w:rsidP="00FA71B9">
            <w:pPr>
              <w:jc w:val="both"/>
              <w:rPr>
                <w:rFonts w:ascii="Garamond" w:hAnsi="Garamond"/>
                <w:lang w:val="en-US"/>
              </w:rPr>
            </w:pPr>
            <w:r w:rsidRPr="00FA71B9">
              <w:rPr>
                <w:rFonts w:ascii="Garamond" w:hAnsi="Garamond"/>
                <w:lang w:val="en-US"/>
              </w:rPr>
              <w:t> Jarque-Bera</w:t>
            </w:r>
          </w:p>
        </w:tc>
        <w:tc>
          <w:tcPr>
            <w:tcW w:w="1168" w:type="pct"/>
            <w:hideMark/>
          </w:tcPr>
          <w:p w14:paraId="0D076BF9" w14:textId="6061FEDF"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1.840343</w:t>
            </w:r>
          </w:p>
        </w:tc>
        <w:tc>
          <w:tcPr>
            <w:tcW w:w="1094" w:type="pct"/>
            <w:hideMark/>
          </w:tcPr>
          <w:p w14:paraId="70C5EA6C" w14:textId="2A7B956B"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2.028241</w:t>
            </w:r>
          </w:p>
        </w:tc>
        <w:tc>
          <w:tcPr>
            <w:tcW w:w="1250" w:type="pct"/>
            <w:hideMark/>
          </w:tcPr>
          <w:p w14:paraId="73BF2F90" w14:textId="621FECA1"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2.842064</w:t>
            </w:r>
          </w:p>
        </w:tc>
      </w:tr>
      <w:tr w:rsidR="00FA71B9" w:rsidRPr="00FA71B9" w14:paraId="534080F7"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2C27765D" w14:textId="77777777" w:rsidR="00FA71B9" w:rsidRPr="00FA71B9" w:rsidRDefault="00FA71B9" w:rsidP="00FA71B9">
            <w:pPr>
              <w:jc w:val="both"/>
              <w:rPr>
                <w:rFonts w:ascii="Garamond" w:hAnsi="Garamond"/>
                <w:lang w:val="en-US"/>
              </w:rPr>
            </w:pPr>
            <w:r w:rsidRPr="00FA71B9">
              <w:rPr>
                <w:rFonts w:ascii="Garamond" w:hAnsi="Garamond"/>
                <w:lang w:val="en-US"/>
              </w:rPr>
              <w:t> Probability</w:t>
            </w:r>
          </w:p>
        </w:tc>
        <w:tc>
          <w:tcPr>
            <w:tcW w:w="1168" w:type="pct"/>
            <w:hideMark/>
          </w:tcPr>
          <w:p w14:paraId="00F49160" w14:textId="7DC5D69E"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0.398451</w:t>
            </w:r>
          </w:p>
        </w:tc>
        <w:tc>
          <w:tcPr>
            <w:tcW w:w="1094" w:type="pct"/>
            <w:hideMark/>
          </w:tcPr>
          <w:p w14:paraId="4179BD35" w14:textId="29C76E73"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0.362721</w:t>
            </w:r>
          </w:p>
        </w:tc>
        <w:tc>
          <w:tcPr>
            <w:tcW w:w="1250" w:type="pct"/>
            <w:hideMark/>
          </w:tcPr>
          <w:p w14:paraId="765C6FF8" w14:textId="62E4FFC7"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0.241465</w:t>
            </w:r>
          </w:p>
        </w:tc>
      </w:tr>
      <w:tr w:rsidR="00FA71B9" w:rsidRPr="00FA71B9" w14:paraId="79DB668F"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6CA077F1" w14:textId="77777777" w:rsidR="00FA71B9" w:rsidRPr="00FA71B9" w:rsidRDefault="00FA71B9" w:rsidP="00FA71B9">
            <w:pPr>
              <w:jc w:val="both"/>
              <w:rPr>
                <w:rFonts w:ascii="Garamond" w:hAnsi="Garamond"/>
                <w:lang w:val="en-US"/>
              </w:rPr>
            </w:pPr>
            <w:r w:rsidRPr="00FA71B9">
              <w:rPr>
                <w:rFonts w:ascii="Garamond" w:hAnsi="Garamond"/>
                <w:lang w:val="en-US"/>
              </w:rPr>
              <w:t> Sum</w:t>
            </w:r>
          </w:p>
        </w:tc>
        <w:tc>
          <w:tcPr>
            <w:tcW w:w="1168" w:type="pct"/>
            <w:hideMark/>
          </w:tcPr>
          <w:p w14:paraId="63264E30" w14:textId="06355282"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876.6526</w:t>
            </w:r>
          </w:p>
        </w:tc>
        <w:tc>
          <w:tcPr>
            <w:tcW w:w="1094" w:type="pct"/>
            <w:hideMark/>
          </w:tcPr>
          <w:p w14:paraId="4F92682B" w14:textId="46AAF734"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756.5463</w:t>
            </w:r>
          </w:p>
        </w:tc>
        <w:tc>
          <w:tcPr>
            <w:tcW w:w="1250" w:type="pct"/>
            <w:hideMark/>
          </w:tcPr>
          <w:p w14:paraId="3EB32691" w14:textId="27DA65A7"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223.4126</w:t>
            </w:r>
          </w:p>
        </w:tc>
      </w:tr>
      <w:tr w:rsidR="00FA71B9" w:rsidRPr="00FA71B9" w14:paraId="775FA00B" w14:textId="77777777" w:rsidTr="00FA71B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70FA6CA4" w14:textId="77777777" w:rsidR="00FA71B9" w:rsidRPr="00FA71B9" w:rsidRDefault="00FA71B9" w:rsidP="00FA71B9">
            <w:pPr>
              <w:jc w:val="both"/>
              <w:rPr>
                <w:rFonts w:ascii="Garamond" w:hAnsi="Garamond"/>
                <w:lang w:val="en-US"/>
              </w:rPr>
            </w:pPr>
            <w:r w:rsidRPr="00FA71B9">
              <w:rPr>
                <w:rFonts w:ascii="Garamond" w:hAnsi="Garamond"/>
                <w:lang w:val="en-US"/>
              </w:rPr>
              <w:t> Sum Sq. Dev.</w:t>
            </w:r>
          </w:p>
        </w:tc>
        <w:tc>
          <w:tcPr>
            <w:tcW w:w="1168" w:type="pct"/>
            <w:hideMark/>
          </w:tcPr>
          <w:p w14:paraId="5226B09C" w14:textId="007A7065"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2.862161</w:t>
            </w:r>
          </w:p>
        </w:tc>
        <w:tc>
          <w:tcPr>
            <w:tcW w:w="1094" w:type="pct"/>
            <w:hideMark/>
          </w:tcPr>
          <w:p w14:paraId="31523334" w14:textId="7436730F"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5.755012</w:t>
            </w:r>
          </w:p>
        </w:tc>
        <w:tc>
          <w:tcPr>
            <w:tcW w:w="1250" w:type="pct"/>
            <w:hideMark/>
          </w:tcPr>
          <w:p w14:paraId="39832643" w14:textId="67E8F245" w:rsidR="00FA71B9" w:rsidRPr="00FA71B9" w:rsidRDefault="00FA71B9" w:rsidP="00C7155A">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1.020332</w:t>
            </w:r>
          </w:p>
        </w:tc>
      </w:tr>
      <w:tr w:rsidR="00FA71B9" w:rsidRPr="00FA71B9" w14:paraId="0066723C" w14:textId="77777777" w:rsidTr="00FA71B9">
        <w:trPr>
          <w:trHeight w:val="225"/>
        </w:trPr>
        <w:tc>
          <w:tcPr>
            <w:cnfStyle w:val="001000000000" w:firstRow="0" w:lastRow="0" w:firstColumn="1" w:lastColumn="0" w:oddVBand="0" w:evenVBand="0" w:oddHBand="0" w:evenHBand="0" w:firstRowFirstColumn="0" w:firstRowLastColumn="0" w:lastRowFirstColumn="0" w:lastRowLastColumn="0"/>
            <w:tcW w:w="1488" w:type="pct"/>
            <w:hideMark/>
          </w:tcPr>
          <w:p w14:paraId="2A8BBFAE" w14:textId="77777777" w:rsidR="00FA71B9" w:rsidRPr="00FA71B9" w:rsidRDefault="00FA71B9" w:rsidP="00FA71B9">
            <w:pPr>
              <w:jc w:val="both"/>
              <w:rPr>
                <w:rFonts w:ascii="Garamond" w:hAnsi="Garamond"/>
                <w:lang w:val="en-US"/>
              </w:rPr>
            </w:pPr>
            <w:r w:rsidRPr="00FA71B9">
              <w:rPr>
                <w:rFonts w:ascii="Garamond" w:hAnsi="Garamond"/>
                <w:lang w:val="en-US"/>
              </w:rPr>
              <w:t> Observations</w:t>
            </w:r>
          </w:p>
        </w:tc>
        <w:tc>
          <w:tcPr>
            <w:tcW w:w="1168" w:type="pct"/>
            <w:hideMark/>
          </w:tcPr>
          <w:p w14:paraId="4E454F73" w14:textId="6EA33521"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24</w:t>
            </w:r>
          </w:p>
        </w:tc>
        <w:tc>
          <w:tcPr>
            <w:tcW w:w="1094" w:type="pct"/>
            <w:hideMark/>
          </w:tcPr>
          <w:p w14:paraId="5405D56E" w14:textId="063A1AB1"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24</w:t>
            </w:r>
          </w:p>
        </w:tc>
        <w:tc>
          <w:tcPr>
            <w:tcW w:w="1250" w:type="pct"/>
            <w:hideMark/>
          </w:tcPr>
          <w:p w14:paraId="7ED9B0F4" w14:textId="7E1EBAC2" w:rsidR="00FA71B9" w:rsidRPr="00FA71B9" w:rsidRDefault="00FA71B9" w:rsidP="00C7155A">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24</w:t>
            </w:r>
          </w:p>
        </w:tc>
      </w:tr>
    </w:tbl>
    <w:p w14:paraId="7B65A750" w14:textId="7B36863F" w:rsidR="009162A6" w:rsidRDefault="006347C9" w:rsidP="009162A6">
      <w:pPr>
        <w:jc w:val="both"/>
        <w:rPr>
          <w:rFonts w:ascii="Garamond" w:hAnsi="Garamond"/>
          <w:i/>
          <w:iCs/>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r w:rsidR="009162A6">
        <w:rPr>
          <w:rFonts w:ascii="Garamond" w:hAnsi="Garamond"/>
          <w:i/>
          <w:iCs/>
        </w:rPr>
        <w:t xml:space="preserve">. </w:t>
      </w:r>
    </w:p>
    <w:p w14:paraId="78258BCB" w14:textId="1A6E5F1B" w:rsidR="00913194" w:rsidRDefault="009162A6" w:rsidP="009162A6">
      <w:pPr>
        <w:ind w:firstLine="360"/>
        <w:jc w:val="both"/>
        <w:rPr>
          <w:rFonts w:ascii="Garamond" w:hAnsi="Garamond"/>
        </w:rPr>
      </w:pPr>
      <w:r w:rsidRPr="009162A6">
        <w:rPr>
          <w:rFonts w:ascii="Garamond" w:hAnsi="Garamond"/>
        </w:rPr>
        <w:t xml:space="preserve">After describing the basic characteristics of the three variables through descriptive statistical analysis, the next step is to ensure the nature of data integration. A stationarity test is conducted to avoid spurious regression and ensure that all variables meet the prerequisites for cointegration analysis. The Augmented Dickey-Fuller (ADF) unit root test results reported in Table 3 reveal that all variables are non-stationary </w:t>
      </w:r>
      <w:r w:rsidRPr="009162A6">
        <w:rPr>
          <w:rFonts w:ascii="Garamond" w:hAnsi="Garamond"/>
        </w:rPr>
        <w:lastRenderedPageBreak/>
        <w:t xml:space="preserve">at the levels but become stationary after first differencing, indicating integration of order one </w:t>
      </w:r>
      <w:proofErr w:type="gramStart"/>
      <w:r w:rsidRPr="009162A6">
        <w:rPr>
          <w:rFonts w:ascii="Garamond" w:hAnsi="Garamond"/>
        </w:rPr>
        <w:t>I(</w:t>
      </w:r>
      <w:proofErr w:type="gramEnd"/>
      <w:r w:rsidRPr="009162A6">
        <w:rPr>
          <w:rFonts w:ascii="Garamond" w:hAnsi="Garamond"/>
        </w:rPr>
        <w:t>1). Thus, the three variables meet the prerequisites for the Johansen cointegration test.</w:t>
      </w:r>
    </w:p>
    <w:p w14:paraId="3E3942A7" w14:textId="7DDAFBC0" w:rsidR="009162A6" w:rsidRPr="009162A6" w:rsidRDefault="009162A6" w:rsidP="009162A6">
      <w:pPr>
        <w:jc w:val="center"/>
        <w:rPr>
          <w:rFonts w:ascii="Garamond" w:hAnsi="Garamond"/>
          <w:b/>
          <w:bCs/>
        </w:rPr>
      </w:pPr>
      <w:r w:rsidRPr="009162A6">
        <w:rPr>
          <w:rFonts w:ascii="Garamond" w:hAnsi="Garamond"/>
          <w:b/>
          <w:bCs/>
        </w:rPr>
        <w:t>Table 3. Stationary Test Result</w:t>
      </w:r>
    </w:p>
    <w:tbl>
      <w:tblPr>
        <w:tblStyle w:val="PlainTable1"/>
        <w:tblW w:w="5000" w:type="pct"/>
        <w:tblLook w:val="04A0" w:firstRow="1" w:lastRow="0" w:firstColumn="1" w:lastColumn="0" w:noHBand="0" w:noVBand="1"/>
      </w:tblPr>
      <w:tblGrid>
        <w:gridCol w:w="1364"/>
        <w:gridCol w:w="1657"/>
        <w:gridCol w:w="1139"/>
        <w:gridCol w:w="1682"/>
        <w:gridCol w:w="1168"/>
        <w:gridCol w:w="1558"/>
        <w:gridCol w:w="1168"/>
      </w:tblGrid>
      <w:tr w:rsidR="009162A6" w:rsidRPr="009162A6" w14:paraId="24D1EF8F" w14:textId="77777777" w:rsidTr="00FA71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vMerge w:val="restart"/>
            <w:vAlign w:val="center"/>
            <w:hideMark/>
          </w:tcPr>
          <w:p w14:paraId="3302BB20" w14:textId="77777777" w:rsidR="009162A6" w:rsidRPr="009162A6" w:rsidRDefault="009162A6" w:rsidP="00FA71B9">
            <w:pPr>
              <w:jc w:val="center"/>
              <w:rPr>
                <w:rFonts w:ascii="Garamond" w:hAnsi="Garamond"/>
                <w:lang w:val="en-US"/>
              </w:rPr>
            </w:pPr>
            <w:r w:rsidRPr="009162A6">
              <w:rPr>
                <w:rFonts w:ascii="Garamond" w:hAnsi="Garamond"/>
                <w:lang w:val="en-US"/>
              </w:rPr>
              <w:t>Variable</w:t>
            </w:r>
          </w:p>
        </w:tc>
        <w:tc>
          <w:tcPr>
            <w:tcW w:w="4300" w:type="pct"/>
            <w:gridSpan w:val="6"/>
            <w:hideMark/>
          </w:tcPr>
          <w:p w14:paraId="0AD191C5" w14:textId="77777777" w:rsidR="009162A6" w:rsidRPr="009162A6" w:rsidRDefault="009162A6" w:rsidP="00FA71B9">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Unit Root Test</w:t>
            </w:r>
          </w:p>
        </w:tc>
      </w:tr>
      <w:tr w:rsidR="009162A6" w:rsidRPr="009162A6" w14:paraId="29D3324F" w14:textId="77777777" w:rsidTr="00FA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E0153F" w14:textId="77777777" w:rsidR="009162A6" w:rsidRPr="009162A6" w:rsidRDefault="009162A6" w:rsidP="009162A6">
            <w:pPr>
              <w:jc w:val="both"/>
              <w:rPr>
                <w:rFonts w:ascii="Garamond" w:hAnsi="Garamond"/>
                <w:lang w:val="en-US"/>
              </w:rPr>
            </w:pPr>
          </w:p>
        </w:tc>
        <w:tc>
          <w:tcPr>
            <w:tcW w:w="1436" w:type="pct"/>
            <w:gridSpan w:val="2"/>
            <w:hideMark/>
          </w:tcPr>
          <w:p w14:paraId="439BD2A0" w14:textId="77777777" w:rsidR="009162A6" w:rsidRPr="009162A6" w:rsidRDefault="009162A6" w:rsidP="00FA71B9">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Level</w:t>
            </w:r>
          </w:p>
        </w:tc>
        <w:tc>
          <w:tcPr>
            <w:tcW w:w="1464" w:type="pct"/>
            <w:gridSpan w:val="2"/>
            <w:hideMark/>
          </w:tcPr>
          <w:p w14:paraId="4BEC1B91" w14:textId="77777777" w:rsidR="009162A6" w:rsidRPr="009162A6" w:rsidRDefault="009162A6" w:rsidP="00FA71B9">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1</w:t>
            </w:r>
            <w:r w:rsidRPr="009162A6">
              <w:rPr>
                <w:rFonts w:ascii="Garamond" w:hAnsi="Garamond"/>
                <w:vertAlign w:val="superscript"/>
                <w:lang w:val="en-US"/>
              </w:rPr>
              <w:t>st</w:t>
            </w:r>
            <w:r w:rsidRPr="009162A6">
              <w:rPr>
                <w:rFonts w:ascii="Garamond" w:hAnsi="Garamond"/>
                <w:lang w:val="en-US"/>
              </w:rPr>
              <w:t xml:space="preserve"> Difference</w:t>
            </w:r>
          </w:p>
        </w:tc>
        <w:tc>
          <w:tcPr>
            <w:tcW w:w="1400" w:type="pct"/>
            <w:gridSpan w:val="2"/>
            <w:hideMark/>
          </w:tcPr>
          <w:p w14:paraId="3BEA628B" w14:textId="77777777" w:rsidR="009162A6" w:rsidRPr="009162A6" w:rsidRDefault="009162A6" w:rsidP="00FA71B9">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2</w:t>
            </w:r>
            <w:r w:rsidRPr="009162A6">
              <w:rPr>
                <w:rFonts w:ascii="Garamond" w:hAnsi="Garamond"/>
                <w:vertAlign w:val="superscript"/>
                <w:lang w:val="en-US"/>
              </w:rPr>
              <w:t>nd</w:t>
            </w:r>
            <w:r w:rsidRPr="009162A6">
              <w:rPr>
                <w:rFonts w:ascii="Garamond" w:hAnsi="Garamond"/>
                <w:lang w:val="en-US"/>
              </w:rPr>
              <w:t xml:space="preserve"> Difference</w:t>
            </w:r>
          </w:p>
        </w:tc>
      </w:tr>
      <w:tr w:rsidR="009162A6" w:rsidRPr="009162A6" w14:paraId="1629E9F4" w14:textId="77777777" w:rsidTr="00FA71B9">
        <w:tc>
          <w:tcPr>
            <w:cnfStyle w:val="001000000000" w:firstRow="0" w:lastRow="0" w:firstColumn="1" w:lastColumn="0" w:oddVBand="0" w:evenVBand="0" w:oddHBand="0" w:evenHBand="0" w:firstRowFirstColumn="0" w:firstRowLastColumn="0" w:lastRowFirstColumn="0" w:lastRowLastColumn="0"/>
            <w:tcW w:w="0" w:type="auto"/>
            <w:vMerge/>
            <w:hideMark/>
          </w:tcPr>
          <w:p w14:paraId="263DC2F0" w14:textId="77777777" w:rsidR="009162A6" w:rsidRPr="009162A6" w:rsidRDefault="009162A6" w:rsidP="009162A6">
            <w:pPr>
              <w:jc w:val="both"/>
              <w:rPr>
                <w:rFonts w:ascii="Garamond" w:hAnsi="Garamond"/>
                <w:lang w:val="en-US"/>
              </w:rPr>
            </w:pPr>
          </w:p>
        </w:tc>
        <w:tc>
          <w:tcPr>
            <w:tcW w:w="851" w:type="pct"/>
            <w:hideMark/>
          </w:tcPr>
          <w:p w14:paraId="2A6C3A8B" w14:textId="77777777"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ADF</w:t>
            </w:r>
          </w:p>
        </w:tc>
        <w:tc>
          <w:tcPr>
            <w:tcW w:w="585" w:type="pct"/>
            <w:hideMark/>
          </w:tcPr>
          <w:p w14:paraId="150EB9AB" w14:textId="77777777"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Prob</w:t>
            </w:r>
          </w:p>
        </w:tc>
        <w:tc>
          <w:tcPr>
            <w:tcW w:w="864" w:type="pct"/>
            <w:hideMark/>
          </w:tcPr>
          <w:p w14:paraId="70F5A06C" w14:textId="77777777"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ADF</w:t>
            </w:r>
          </w:p>
        </w:tc>
        <w:tc>
          <w:tcPr>
            <w:tcW w:w="600" w:type="pct"/>
            <w:hideMark/>
          </w:tcPr>
          <w:p w14:paraId="1A183E22" w14:textId="77777777"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Prob</w:t>
            </w:r>
          </w:p>
        </w:tc>
        <w:tc>
          <w:tcPr>
            <w:tcW w:w="800" w:type="pct"/>
            <w:hideMark/>
          </w:tcPr>
          <w:p w14:paraId="2F144B3C" w14:textId="77777777"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ADF</w:t>
            </w:r>
          </w:p>
        </w:tc>
        <w:tc>
          <w:tcPr>
            <w:tcW w:w="600" w:type="pct"/>
            <w:hideMark/>
          </w:tcPr>
          <w:p w14:paraId="38970F12" w14:textId="3C85256B" w:rsidR="009162A6" w:rsidRPr="009162A6" w:rsidRDefault="009162A6" w:rsidP="00FA71B9">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Prob</w:t>
            </w:r>
          </w:p>
        </w:tc>
      </w:tr>
      <w:tr w:rsidR="009162A6" w:rsidRPr="009162A6" w14:paraId="1CB2E715" w14:textId="77777777" w:rsidTr="00FA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pct"/>
            <w:hideMark/>
          </w:tcPr>
          <w:p w14:paraId="6100E2E5" w14:textId="77777777" w:rsidR="009162A6" w:rsidRPr="009162A6" w:rsidRDefault="009162A6" w:rsidP="009162A6">
            <w:pPr>
              <w:jc w:val="both"/>
              <w:rPr>
                <w:rFonts w:ascii="Garamond" w:hAnsi="Garamond"/>
                <w:lang w:val="en-US"/>
              </w:rPr>
            </w:pPr>
            <w:proofErr w:type="spellStart"/>
            <w:r w:rsidRPr="009162A6">
              <w:rPr>
                <w:rFonts w:ascii="Garamond" w:hAnsi="Garamond"/>
                <w:lang w:val="en-US"/>
              </w:rPr>
              <w:t>LnY</w:t>
            </w:r>
            <w:proofErr w:type="spellEnd"/>
          </w:p>
        </w:tc>
        <w:tc>
          <w:tcPr>
            <w:tcW w:w="851" w:type="pct"/>
            <w:hideMark/>
          </w:tcPr>
          <w:p w14:paraId="7A0D604D"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-1.229668</w:t>
            </w:r>
          </w:p>
        </w:tc>
        <w:tc>
          <w:tcPr>
            <w:tcW w:w="585" w:type="pct"/>
            <w:hideMark/>
          </w:tcPr>
          <w:p w14:paraId="6E346680"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0.6433</w:t>
            </w:r>
          </w:p>
        </w:tc>
        <w:tc>
          <w:tcPr>
            <w:tcW w:w="864" w:type="pct"/>
            <w:hideMark/>
          </w:tcPr>
          <w:p w14:paraId="6B4D3881"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-3.619563</w:t>
            </w:r>
          </w:p>
        </w:tc>
        <w:tc>
          <w:tcPr>
            <w:tcW w:w="600" w:type="pct"/>
            <w:hideMark/>
          </w:tcPr>
          <w:p w14:paraId="0C7D9E62"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9162A6">
              <w:rPr>
                <w:rFonts w:ascii="Garamond" w:hAnsi="Garamond"/>
                <w:b/>
                <w:bCs/>
                <w:lang w:val="en-US"/>
              </w:rPr>
              <w:t>0.0139</w:t>
            </w:r>
          </w:p>
        </w:tc>
        <w:tc>
          <w:tcPr>
            <w:tcW w:w="800" w:type="pct"/>
            <w:hideMark/>
          </w:tcPr>
          <w:p w14:paraId="4A31D045"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-3.683995</w:t>
            </w:r>
          </w:p>
        </w:tc>
        <w:tc>
          <w:tcPr>
            <w:tcW w:w="600" w:type="pct"/>
            <w:hideMark/>
          </w:tcPr>
          <w:p w14:paraId="740FC985"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9162A6">
              <w:rPr>
                <w:rFonts w:ascii="Garamond" w:hAnsi="Garamond"/>
                <w:lang w:val="en-US"/>
              </w:rPr>
              <w:t>0.0136</w:t>
            </w:r>
          </w:p>
        </w:tc>
      </w:tr>
      <w:tr w:rsidR="009162A6" w:rsidRPr="009162A6" w14:paraId="2FFCD7DA" w14:textId="77777777" w:rsidTr="00FA71B9">
        <w:tc>
          <w:tcPr>
            <w:cnfStyle w:val="001000000000" w:firstRow="0" w:lastRow="0" w:firstColumn="1" w:lastColumn="0" w:oddVBand="0" w:evenVBand="0" w:oddHBand="0" w:evenHBand="0" w:firstRowFirstColumn="0" w:firstRowLastColumn="0" w:lastRowFirstColumn="0" w:lastRowLastColumn="0"/>
            <w:tcW w:w="700" w:type="pct"/>
            <w:hideMark/>
          </w:tcPr>
          <w:p w14:paraId="1657DC89" w14:textId="77777777" w:rsidR="009162A6" w:rsidRPr="009162A6" w:rsidRDefault="009162A6" w:rsidP="009162A6">
            <w:pPr>
              <w:jc w:val="both"/>
              <w:rPr>
                <w:rFonts w:ascii="Garamond" w:hAnsi="Garamond"/>
                <w:lang w:val="en-US"/>
              </w:rPr>
            </w:pPr>
            <w:proofErr w:type="spellStart"/>
            <w:r w:rsidRPr="009162A6">
              <w:rPr>
                <w:rFonts w:ascii="Garamond" w:hAnsi="Garamond"/>
                <w:lang w:val="en-US"/>
              </w:rPr>
              <w:t>LnME</w:t>
            </w:r>
            <w:proofErr w:type="spellEnd"/>
          </w:p>
        </w:tc>
        <w:tc>
          <w:tcPr>
            <w:tcW w:w="851" w:type="pct"/>
            <w:hideMark/>
          </w:tcPr>
          <w:p w14:paraId="43B42752"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-1.254697</w:t>
            </w:r>
          </w:p>
        </w:tc>
        <w:tc>
          <w:tcPr>
            <w:tcW w:w="585" w:type="pct"/>
            <w:hideMark/>
          </w:tcPr>
          <w:p w14:paraId="71554D6D"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0.6322</w:t>
            </w:r>
          </w:p>
        </w:tc>
        <w:tc>
          <w:tcPr>
            <w:tcW w:w="864" w:type="pct"/>
            <w:hideMark/>
          </w:tcPr>
          <w:p w14:paraId="70884A3A"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-5.989691</w:t>
            </w:r>
          </w:p>
        </w:tc>
        <w:tc>
          <w:tcPr>
            <w:tcW w:w="600" w:type="pct"/>
            <w:hideMark/>
          </w:tcPr>
          <w:p w14:paraId="3794882F"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9162A6">
              <w:rPr>
                <w:rFonts w:ascii="Garamond" w:hAnsi="Garamond"/>
                <w:b/>
                <w:bCs/>
                <w:lang w:val="en-US"/>
              </w:rPr>
              <w:t>0.0001</w:t>
            </w:r>
          </w:p>
        </w:tc>
        <w:tc>
          <w:tcPr>
            <w:tcW w:w="800" w:type="pct"/>
            <w:hideMark/>
          </w:tcPr>
          <w:p w14:paraId="58394951"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9162A6">
              <w:rPr>
                <w:rFonts w:ascii="Garamond" w:hAnsi="Garamond"/>
                <w:lang w:val="en-US"/>
              </w:rPr>
              <w:t>-6.149597</w:t>
            </w:r>
          </w:p>
        </w:tc>
        <w:tc>
          <w:tcPr>
            <w:tcW w:w="600" w:type="pct"/>
            <w:hideMark/>
          </w:tcPr>
          <w:p w14:paraId="28BE84E4" w14:textId="77777777" w:rsidR="009162A6" w:rsidRPr="009162A6" w:rsidRDefault="009162A6"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9162A6">
              <w:rPr>
                <w:rFonts w:ascii="Garamond" w:hAnsi="Garamond"/>
                <w:lang w:val="en-US"/>
              </w:rPr>
              <w:t>0.0001</w:t>
            </w:r>
          </w:p>
        </w:tc>
      </w:tr>
      <w:tr w:rsidR="009162A6" w:rsidRPr="009162A6" w14:paraId="14B6F342" w14:textId="77777777" w:rsidTr="00FA71B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00" w:type="pct"/>
            <w:hideMark/>
          </w:tcPr>
          <w:p w14:paraId="11F18271" w14:textId="77777777" w:rsidR="009162A6" w:rsidRPr="009162A6" w:rsidRDefault="009162A6" w:rsidP="009162A6">
            <w:pPr>
              <w:jc w:val="both"/>
              <w:rPr>
                <w:rFonts w:ascii="Garamond" w:hAnsi="Garamond"/>
                <w:lang w:val="en-US"/>
              </w:rPr>
            </w:pPr>
            <w:proofErr w:type="spellStart"/>
            <w:r w:rsidRPr="009162A6">
              <w:rPr>
                <w:rFonts w:ascii="Garamond" w:hAnsi="Garamond"/>
                <w:lang w:val="en-US"/>
              </w:rPr>
              <w:t>LnER</w:t>
            </w:r>
            <w:proofErr w:type="spellEnd"/>
          </w:p>
        </w:tc>
        <w:tc>
          <w:tcPr>
            <w:tcW w:w="851" w:type="pct"/>
            <w:hideMark/>
          </w:tcPr>
          <w:p w14:paraId="7925DE06"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-0.669938</w:t>
            </w:r>
          </w:p>
        </w:tc>
        <w:tc>
          <w:tcPr>
            <w:tcW w:w="585" w:type="pct"/>
            <w:hideMark/>
          </w:tcPr>
          <w:p w14:paraId="3CC37621"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0.8354</w:t>
            </w:r>
          </w:p>
        </w:tc>
        <w:tc>
          <w:tcPr>
            <w:tcW w:w="864" w:type="pct"/>
            <w:hideMark/>
          </w:tcPr>
          <w:p w14:paraId="3197A3D6"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-4.878850</w:t>
            </w:r>
          </w:p>
        </w:tc>
        <w:tc>
          <w:tcPr>
            <w:tcW w:w="600" w:type="pct"/>
            <w:hideMark/>
          </w:tcPr>
          <w:p w14:paraId="21750609"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9162A6">
              <w:rPr>
                <w:rFonts w:ascii="Garamond" w:hAnsi="Garamond"/>
                <w:b/>
                <w:bCs/>
                <w:lang w:val="en-US"/>
              </w:rPr>
              <w:t>0.0008</w:t>
            </w:r>
          </w:p>
        </w:tc>
        <w:tc>
          <w:tcPr>
            <w:tcW w:w="800" w:type="pct"/>
            <w:hideMark/>
          </w:tcPr>
          <w:p w14:paraId="21755113"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9162A6">
              <w:rPr>
                <w:rFonts w:ascii="Garamond" w:hAnsi="Garamond"/>
                <w:lang w:val="en-US"/>
              </w:rPr>
              <w:t>-6.234173</w:t>
            </w:r>
          </w:p>
        </w:tc>
        <w:tc>
          <w:tcPr>
            <w:tcW w:w="600" w:type="pct"/>
            <w:hideMark/>
          </w:tcPr>
          <w:p w14:paraId="2CB41C85" w14:textId="77777777" w:rsidR="009162A6" w:rsidRPr="009162A6" w:rsidRDefault="009162A6"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9162A6">
              <w:rPr>
                <w:rFonts w:ascii="Garamond" w:hAnsi="Garamond"/>
                <w:lang w:val="en-US"/>
              </w:rPr>
              <w:t>0.0000</w:t>
            </w:r>
          </w:p>
        </w:tc>
      </w:tr>
    </w:tbl>
    <w:p w14:paraId="6A8CEC68" w14:textId="2B0CA8F3" w:rsidR="009162A6" w:rsidRDefault="009162A6" w:rsidP="00913194">
      <w:pPr>
        <w:jc w:val="both"/>
        <w:rPr>
          <w:rFonts w:ascii="Garamond" w:hAnsi="Garamond"/>
          <w:i/>
          <w:iCs/>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r>
        <w:rPr>
          <w:rFonts w:ascii="Garamond" w:hAnsi="Garamond"/>
          <w:i/>
          <w:iCs/>
        </w:rPr>
        <w:t xml:space="preserve"> </w:t>
      </w:r>
    </w:p>
    <w:p w14:paraId="36708F66" w14:textId="2BB714BC" w:rsidR="009162A6" w:rsidRDefault="009162A6" w:rsidP="009162A6">
      <w:pPr>
        <w:ind w:firstLine="360"/>
        <w:jc w:val="both"/>
        <w:rPr>
          <w:rFonts w:ascii="Garamond" w:hAnsi="Garamond"/>
        </w:rPr>
      </w:pPr>
      <w:r w:rsidRPr="009162A6">
        <w:rPr>
          <w:rFonts w:ascii="Garamond" w:hAnsi="Garamond"/>
        </w:rPr>
        <w:t>Based on the results in Table 4, all lag selection criteria consistently recommend lag 1 as the most optimal. Therefore, the cointegration analysis and causality test in this study use lag length 1 as the basis for model estimation</w:t>
      </w:r>
      <w:r>
        <w:rPr>
          <w:rFonts w:ascii="Garamond" w:hAnsi="Garamond"/>
        </w:rPr>
        <w:t>.</w:t>
      </w:r>
    </w:p>
    <w:p w14:paraId="464B93CC" w14:textId="66A7545A" w:rsidR="0028740C" w:rsidRPr="00107EFD" w:rsidRDefault="00FA71B9" w:rsidP="00107EFD">
      <w:pPr>
        <w:jc w:val="center"/>
        <w:rPr>
          <w:rFonts w:ascii="Garamond" w:hAnsi="Garamond"/>
          <w:b/>
          <w:bCs/>
        </w:rPr>
      </w:pPr>
      <w:r w:rsidRPr="00107EFD">
        <w:rPr>
          <w:rFonts w:ascii="Garamond" w:hAnsi="Garamond"/>
          <w:b/>
          <w:bCs/>
        </w:rPr>
        <w:t>Table 4. Lag-length criteria results</w:t>
      </w:r>
    </w:p>
    <w:tbl>
      <w:tblPr>
        <w:tblStyle w:val="PlainTable1"/>
        <w:tblW w:w="5000" w:type="pct"/>
        <w:tblLook w:val="04A0" w:firstRow="1" w:lastRow="0" w:firstColumn="1" w:lastColumn="0" w:noHBand="0" w:noVBand="1"/>
      </w:tblPr>
      <w:tblGrid>
        <w:gridCol w:w="614"/>
        <w:gridCol w:w="1387"/>
        <w:gridCol w:w="1586"/>
        <w:gridCol w:w="1388"/>
        <w:gridCol w:w="1587"/>
        <w:gridCol w:w="1587"/>
        <w:gridCol w:w="1587"/>
      </w:tblGrid>
      <w:tr w:rsidR="00FA71B9" w:rsidRPr="00FA71B9" w14:paraId="5C36A3C8" w14:textId="77777777" w:rsidTr="00107EFD">
        <w:trPr>
          <w:cnfStyle w:val="100000000000" w:firstRow="1" w:lastRow="0" w:firstColumn="0" w:lastColumn="0" w:oddVBand="0" w:evenVBand="0" w:oddHBand="0"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7" w:type="pct"/>
          </w:tcPr>
          <w:p w14:paraId="205B18DF" w14:textId="77777777" w:rsidR="00FA71B9" w:rsidRPr="00FA71B9" w:rsidRDefault="00FA71B9" w:rsidP="00FA71B9">
            <w:pPr>
              <w:jc w:val="both"/>
              <w:rPr>
                <w:rFonts w:ascii="Garamond" w:hAnsi="Garamond"/>
                <w:lang w:val="en-US"/>
              </w:rPr>
            </w:pPr>
          </w:p>
        </w:tc>
        <w:tc>
          <w:tcPr>
            <w:tcW w:w="714" w:type="pct"/>
          </w:tcPr>
          <w:p w14:paraId="61D5E2C6"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6569B5DF"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714" w:type="pct"/>
          </w:tcPr>
          <w:p w14:paraId="23731417"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10D6754C"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0E5EAE44"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61502F62"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663B77D3" w14:textId="77777777" w:rsidTr="00107EFD">
        <w:trPr>
          <w:cnfStyle w:val="000000100000" w:firstRow="0" w:lastRow="0" w:firstColumn="0" w:lastColumn="0" w:oddVBand="0" w:evenVBand="0" w:oddHBand="1" w:evenHBand="0" w:firstRowFirstColumn="0" w:firstRowLastColumn="0" w:lastRowFirstColumn="0" w:lastRowLastColumn="0"/>
          <w:trHeight w:hRule="exact" w:val="135"/>
        </w:trPr>
        <w:tc>
          <w:tcPr>
            <w:cnfStyle w:val="001000000000" w:firstRow="0" w:lastRow="0" w:firstColumn="1" w:lastColumn="0" w:oddVBand="0" w:evenVBand="0" w:oddHBand="0" w:evenHBand="0" w:firstRowFirstColumn="0" w:firstRowLastColumn="0" w:lastRowFirstColumn="0" w:lastRowLastColumn="0"/>
            <w:tcW w:w="307" w:type="pct"/>
          </w:tcPr>
          <w:p w14:paraId="3736200D" w14:textId="77777777" w:rsidR="00FA71B9" w:rsidRPr="00FA71B9" w:rsidRDefault="00FA71B9" w:rsidP="00FA71B9">
            <w:pPr>
              <w:jc w:val="both"/>
              <w:rPr>
                <w:rFonts w:ascii="Garamond" w:hAnsi="Garamond"/>
                <w:lang w:val="en-US"/>
              </w:rPr>
            </w:pPr>
          </w:p>
        </w:tc>
        <w:tc>
          <w:tcPr>
            <w:tcW w:w="714" w:type="pct"/>
          </w:tcPr>
          <w:p w14:paraId="327857E2"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4DD045AE"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714" w:type="pct"/>
          </w:tcPr>
          <w:p w14:paraId="4A0DF01D"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13C16274"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7CEAAE6A"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52321424"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52EC9F24" w14:textId="77777777" w:rsidTr="00107EFD">
        <w:trPr>
          <w:trHeight w:val="225"/>
        </w:trPr>
        <w:tc>
          <w:tcPr>
            <w:cnfStyle w:val="001000000000" w:firstRow="0" w:lastRow="0" w:firstColumn="1" w:lastColumn="0" w:oddVBand="0" w:evenVBand="0" w:oddHBand="0" w:evenHBand="0" w:firstRowFirstColumn="0" w:firstRowLastColumn="0" w:lastRowFirstColumn="0" w:lastRowLastColumn="0"/>
            <w:tcW w:w="307" w:type="pct"/>
            <w:hideMark/>
          </w:tcPr>
          <w:p w14:paraId="1270D630" w14:textId="362ABB27" w:rsidR="00FA71B9" w:rsidRPr="00FA71B9" w:rsidRDefault="00FA71B9" w:rsidP="00107EFD">
            <w:pPr>
              <w:jc w:val="center"/>
              <w:rPr>
                <w:rFonts w:ascii="Garamond" w:hAnsi="Garamond"/>
                <w:lang w:val="en-US"/>
              </w:rPr>
            </w:pPr>
            <w:r w:rsidRPr="00FA71B9">
              <w:rPr>
                <w:rFonts w:ascii="Garamond" w:hAnsi="Garamond"/>
                <w:lang w:val="en-US"/>
              </w:rPr>
              <w:t>Lag</w:t>
            </w:r>
          </w:p>
        </w:tc>
        <w:tc>
          <w:tcPr>
            <w:tcW w:w="714" w:type="pct"/>
            <w:hideMark/>
          </w:tcPr>
          <w:p w14:paraId="0DD59E92"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proofErr w:type="spellStart"/>
            <w:r w:rsidRPr="00FA71B9">
              <w:rPr>
                <w:rFonts w:ascii="Garamond" w:hAnsi="Garamond"/>
                <w:b/>
                <w:bCs/>
                <w:lang w:val="en-US"/>
              </w:rPr>
              <w:t>LogL</w:t>
            </w:r>
            <w:proofErr w:type="spellEnd"/>
          </w:p>
        </w:tc>
        <w:tc>
          <w:tcPr>
            <w:tcW w:w="816" w:type="pct"/>
            <w:hideMark/>
          </w:tcPr>
          <w:p w14:paraId="5731042E"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LR</w:t>
            </w:r>
          </w:p>
        </w:tc>
        <w:tc>
          <w:tcPr>
            <w:tcW w:w="714" w:type="pct"/>
            <w:hideMark/>
          </w:tcPr>
          <w:p w14:paraId="0E7A3AF2"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FPE</w:t>
            </w:r>
          </w:p>
        </w:tc>
        <w:tc>
          <w:tcPr>
            <w:tcW w:w="816" w:type="pct"/>
            <w:hideMark/>
          </w:tcPr>
          <w:p w14:paraId="02340E6A"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AIC</w:t>
            </w:r>
          </w:p>
        </w:tc>
        <w:tc>
          <w:tcPr>
            <w:tcW w:w="816" w:type="pct"/>
            <w:hideMark/>
          </w:tcPr>
          <w:p w14:paraId="2219AA56"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SC</w:t>
            </w:r>
          </w:p>
        </w:tc>
        <w:tc>
          <w:tcPr>
            <w:tcW w:w="816" w:type="pct"/>
            <w:hideMark/>
          </w:tcPr>
          <w:p w14:paraId="4DA87711" w14:textId="77777777" w:rsidR="00FA71B9" w:rsidRPr="00FA71B9" w:rsidRDefault="00FA71B9" w:rsidP="00107EFD">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HQ</w:t>
            </w:r>
          </w:p>
        </w:tc>
      </w:tr>
      <w:tr w:rsidR="00FA71B9" w:rsidRPr="00FA71B9" w14:paraId="5208F6FE" w14:textId="77777777" w:rsidTr="00107EFD">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7" w:type="pct"/>
          </w:tcPr>
          <w:p w14:paraId="5AA20B5B" w14:textId="77777777" w:rsidR="00FA71B9" w:rsidRPr="00FA71B9" w:rsidRDefault="00FA71B9" w:rsidP="00FA71B9">
            <w:pPr>
              <w:jc w:val="both"/>
              <w:rPr>
                <w:rFonts w:ascii="Garamond" w:hAnsi="Garamond"/>
                <w:lang w:val="en-US"/>
              </w:rPr>
            </w:pPr>
          </w:p>
        </w:tc>
        <w:tc>
          <w:tcPr>
            <w:tcW w:w="714" w:type="pct"/>
          </w:tcPr>
          <w:p w14:paraId="159A95C0"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666FAB9B"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714" w:type="pct"/>
          </w:tcPr>
          <w:p w14:paraId="651756BD"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4B676D0C"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59CF3DC6"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7E81BBA7"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143F1E3A" w14:textId="77777777" w:rsidTr="00107EFD">
        <w:trPr>
          <w:trHeight w:hRule="exact" w:val="135"/>
        </w:trPr>
        <w:tc>
          <w:tcPr>
            <w:cnfStyle w:val="001000000000" w:firstRow="0" w:lastRow="0" w:firstColumn="1" w:lastColumn="0" w:oddVBand="0" w:evenVBand="0" w:oddHBand="0" w:evenHBand="0" w:firstRowFirstColumn="0" w:firstRowLastColumn="0" w:lastRowFirstColumn="0" w:lastRowLastColumn="0"/>
            <w:tcW w:w="307" w:type="pct"/>
          </w:tcPr>
          <w:p w14:paraId="3CF85BE5" w14:textId="77777777" w:rsidR="00FA71B9" w:rsidRPr="00FA71B9" w:rsidRDefault="00FA71B9" w:rsidP="00FA71B9">
            <w:pPr>
              <w:jc w:val="both"/>
              <w:rPr>
                <w:rFonts w:ascii="Garamond" w:hAnsi="Garamond"/>
                <w:lang w:val="en-US"/>
              </w:rPr>
            </w:pPr>
          </w:p>
        </w:tc>
        <w:tc>
          <w:tcPr>
            <w:tcW w:w="714" w:type="pct"/>
          </w:tcPr>
          <w:p w14:paraId="1EEA3011"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1942C7C8"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714" w:type="pct"/>
          </w:tcPr>
          <w:p w14:paraId="31F701B3"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6C08F2C9"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2E570327"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5B20CC01"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15679DBF" w14:textId="77777777" w:rsidTr="00107EF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7" w:type="pct"/>
            <w:hideMark/>
          </w:tcPr>
          <w:p w14:paraId="54776512" w14:textId="77777777" w:rsidR="00FA71B9" w:rsidRPr="00FA71B9" w:rsidRDefault="00FA71B9" w:rsidP="00FA71B9">
            <w:pPr>
              <w:jc w:val="both"/>
              <w:rPr>
                <w:rFonts w:ascii="Garamond" w:hAnsi="Garamond"/>
                <w:lang w:val="en-US"/>
              </w:rPr>
            </w:pPr>
            <w:r w:rsidRPr="00FA71B9">
              <w:rPr>
                <w:rFonts w:ascii="Garamond" w:hAnsi="Garamond"/>
                <w:lang w:val="en-US"/>
              </w:rPr>
              <w:t>0</w:t>
            </w:r>
          </w:p>
        </w:tc>
        <w:tc>
          <w:tcPr>
            <w:tcW w:w="714" w:type="pct"/>
            <w:hideMark/>
          </w:tcPr>
          <w:p w14:paraId="036D40C1" w14:textId="40155BCB"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34.19268</w:t>
            </w:r>
          </w:p>
        </w:tc>
        <w:tc>
          <w:tcPr>
            <w:tcW w:w="816" w:type="pct"/>
            <w:hideMark/>
          </w:tcPr>
          <w:p w14:paraId="1159DE18" w14:textId="0E6F5BB5"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NA</w:t>
            </w:r>
          </w:p>
        </w:tc>
        <w:tc>
          <w:tcPr>
            <w:tcW w:w="714" w:type="pct"/>
            <w:hideMark/>
          </w:tcPr>
          <w:p w14:paraId="3FA9F81D" w14:textId="611DE3E0"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1.03e-05</w:t>
            </w:r>
          </w:p>
        </w:tc>
        <w:tc>
          <w:tcPr>
            <w:tcW w:w="816" w:type="pct"/>
            <w:hideMark/>
          </w:tcPr>
          <w:p w14:paraId="76A04F9E"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-2.970732</w:t>
            </w:r>
          </w:p>
        </w:tc>
        <w:tc>
          <w:tcPr>
            <w:tcW w:w="816" w:type="pct"/>
            <w:hideMark/>
          </w:tcPr>
          <w:p w14:paraId="7F1B4D7E"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-2.821514</w:t>
            </w:r>
          </w:p>
        </w:tc>
        <w:tc>
          <w:tcPr>
            <w:tcW w:w="816" w:type="pct"/>
            <w:hideMark/>
          </w:tcPr>
          <w:p w14:paraId="5578C698"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-2.938348</w:t>
            </w:r>
          </w:p>
        </w:tc>
      </w:tr>
      <w:tr w:rsidR="00FA71B9" w:rsidRPr="00FA71B9" w14:paraId="7937553B" w14:textId="77777777" w:rsidTr="00107EFD">
        <w:trPr>
          <w:trHeight w:val="225"/>
        </w:trPr>
        <w:tc>
          <w:tcPr>
            <w:cnfStyle w:val="001000000000" w:firstRow="0" w:lastRow="0" w:firstColumn="1" w:lastColumn="0" w:oddVBand="0" w:evenVBand="0" w:oddHBand="0" w:evenHBand="0" w:firstRowFirstColumn="0" w:firstRowLastColumn="0" w:lastRowFirstColumn="0" w:lastRowLastColumn="0"/>
            <w:tcW w:w="307" w:type="pct"/>
            <w:hideMark/>
          </w:tcPr>
          <w:p w14:paraId="431B6AC6" w14:textId="77777777" w:rsidR="00FA71B9" w:rsidRPr="00FA71B9" w:rsidRDefault="00FA71B9" w:rsidP="00FA71B9">
            <w:pPr>
              <w:jc w:val="both"/>
              <w:rPr>
                <w:rFonts w:ascii="Garamond" w:hAnsi="Garamond"/>
                <w:lang w:val="en-US"/>
              </w:rPr>
            </w:pPr>
            <w:r w:rsidRPr="00FA71B9">
              <w:rPr>
                <w:rFonts w:ascii="Garamond" w:hAnsi="Garamond"/>
                <w:lang w:val="en-US"/>
              </w:rPr>
              <w:t>1</w:t>
            </w:r>
          </w:p>
        </w:tc>
        <w:tc>
          <w:tcPr>
            <w:tcW w:w="714" w:type="pct"/>
            <w:hideMark/>
          </w:tcPr>
          <w:p w14:paraId="0DDC0539" w14:textId="52BC0042"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114.0157</w:t>
            </w:r>
          </w:p>
        </w:tc>
        <w:tc>
          <w:tcPr>
            <w:tcW w:w="816" w:type="pct"/>
            <w:hideMark/>
          </w:tcPr>
          <w:p w14:paraId="4CC126A3" w14:textId="1162D5CC"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129.2372*</w:t>
            </w:r>
          </w:p>
        </w:tc>
        <w:tc>
          <w:tcPr>
            <w:tcW w:w="714" w:type="pct"/>
            <w:hideMark/>
          </w:tcPr>
          <w:p w14:paraId="28F40745" w14:textId="17B0A33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1.23e-08*</w:t>
            </w:r>
          </w:p>
        </w:tc>
        <w:tc>
          <w:tcPr>
            <w:tcW w:w="816" w:type="pct"/>
            <w:hideMark/>
          </w:tcPr>
          <w:p w14:paraId="34C7A38E" w14:textId="6E723FFB"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-9.715778*</w:t>
            </w:r>
          </w:p>
        </w:tc>
        <w:tc>
          <w:tcPr>
            <w:tcW w:w="816" w:type="pct"/>
            <w:hideMark/>
          </w:tcPr>
          <w:p w14:paraId="69DA4EFB" w14:textId="300D7992"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-9.118908*</w:t>
            </w:r>
          </w:p>
        </w:tc>
        <w:tc>
          <w:tcPr>
            <w:tcW w:w="816" w:type="pct"/>
            <w:hideMark/>
          </w:tcPr>
          <w:p w14:paraId="7714EF90" w14:textId="0FFD9369"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-9.586242*</w:t>
            </w:r>
          </w:p>
        </w:tc>
      </w:tr>
      <w:tr w:rsidR="00FA71B9" w:rsidRPr="00FA71B9" w14:paraId="6FB7A4FF" w14:textId="77777777" w:rsidTr="00107EFD">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7" w:type="pct"/>
            <w:hideMark/>
          </w:tcPr>
          <w:p w14:paraId="5ACDA441" w14:textId="77777777" w:rsidR="00FA71B9" w:rsidRPr="00FA71B9" w:rsidRDefault="00FA71B9" w:rsidP="00FA71B9">
            <w:pPr>
              <w:jc w:val="both"/>
              <w:rPr>
                <w:rFonts w:ascii="Garamond" w:hAnsi="Garamond"/>
                <w:lang w:val="en-US"/>
              </w:rPr>
            </w:pPr>
            <w:r w:rsidRPr="00FA71B9">
              <w:rPr>
                <w:rFonts w:ascii="Garamond" w:hAnsi="Garamond"/>
                <w:lang w:val="en-US"/>
              </w:rPr>
              <w:t>2</w:t>
            </w:r>
          </w:p>
        </w:tc>
        <w:tc>
          <w:tcPr>
            <w:tcW w:w="714" w:type="pct"/>
            <w:hideMark/>
          </w:tcPr>
          <w:p w14:paraId="1E233A24" w14:textId="0E0CCD8F"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118.8260</w:t>
            </w:r>
          </w:p>
        </w:tc>
        <w:tc>
          <w:tcPr>
            <w:tcW w:w="816" w:type="pct"/>
            <w:hideMark/>
          </w:tcPr>
          <w:p w14:paraId="487A3977" w14:textId="1C369316"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6.413723</w:t>
            </w:r>
          </w:p>
        </w:tc>
        <w:tc>
          <w:tcPr>
            <w:tcW w:w="714" w:type="pct"/>
            <w:hideMark/>
          </w:tcPr>
          <w:p w14:paraId="13FB6186" w14:textId="74B565F1"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1.95e-08</w:t>
            </w:r>
          </w:p>
        </w:tc>
        <w:tc>
          <w:tcPr>
            <w:tcW w:w="816" w:type="pct"/>
            <w:hideMark/>
          </w:tcPr>
          <w:p w14:paraId="2DD91C9C"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-9.316758</w:t>
            </w:r>
          </w:p>
        </w:tc>
        <w:tc>
          <w:tcPr>
            <w:tcW w:w="816" w:type="pct"/>
            <w:hideMark/>
          </w:tcPr>
          <w:p w14:paraId="7D2B58B8"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-8.272235</w:t>
            </w:r>
          </w:p>
        </w:tc>
        <w:tc>
          <w:tcPr>
            <w:tcW w:w="816" w:type="pct"/>
            <w:hideMark/>
          </w:tcPr>
          <w:p w14:paraId="02F79910"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-9.090070</w:t>
            </w:r>
          </w:p>
        </w:tc>
      </w:tr>
      <w:tr w:rsidR="00FA71B9" w:rsidRPr="00FA71B9" w14:paraId="49B5F483" w14:textId="77777777" w:rsidTr="00107EFD">
        <w:trPr>
          <w:trHeight w:val="225"/>
        </w:trPr>
        <w:tc>
          <w:tcPr>
            <w:cnfStyle w:val="001000000000" w:firstRow="0" w:lastRow="0" w:firstColumn="1" w:lastColumn="0" w:oddVBand="0" w:evenVBand="0" w:oddHBand="0" w:evenHBand="0" w:firstRowFirstColumn="0" w:firstRowLastColumn="0" w:lastRowFirstColumn="0" w:lastRowLastColumn="0"/>
            <w:tcW w:w="307" w:type="pct"/>
            <w:hideMark/>
          </w:tcPr>
          <w:p w14:paraId="7341AE97" w14:textId="77777777" w:rsidR="00FA71B9" w:rsidRPr="00FA71B9" w:rsidRDefault="00FA71B9" w:rsidP="00FA71B9">
            <w:pPr>
              <w:jc w:val="both"/>
              <w:rPr>
                <w:rFonts w:ascii="Garamond" w:hAnsi="Garamond"/>
                <w:lang w:val="en-US"/>
              </w:rPr>
            </w:pPr>
            <w:r w:rsidRPr="00FA71B9">
              <w:rPr>
                <w:rFonts w:ascii="Garamond" w:hAnsi="Garamond"/>
                <w:lang w:val="en-US"/>
              </w:rPr>
              <w:t>3</w:t>
            </w:r>
          </w:p>
        </w:tc>
        <w:tc>
          <w:tcPr>
            <w:tcW w:w="714" w:type="pct"/>
            <w:hideMark/>
          </w:tcPr>
          <w:p w14:paraId="39D3D39D" w14:textId="6E14BC2B"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125.7337</w:t>
            </w:r>
          </w:p>
        </w:tc>
        <w:tc>
          <w:tcPr>
            <w:tcW w:w="816" w:type="pct"/>
            <w:hideMark/>
          </w:tcPr>
          <w:p w14:paraId="0E69F226" w14:textId="2C83B3EF"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7.236669</w:t>
            </w:r>
          </w:p>
        </w:tc>
        <w:tc>
          <w:tcPr>
            <w:tcW w:w="714" w:type="pct"/>
            <w:hideMark/>
          </w:tcPr>
          <w:p w14:paraId="117B538E" w14:textId="539AAA78"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2.83e-08</w:t>
            </w:r>
          </w:p>
        </w:tc>
        <w:tc>
          <w:tcPr>
            <w:tcW w:w="816" w:type="pct"/>
            <w:hideMark/>
          </w:tcPr>
          <w:p w14:paraId="43412775"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-9.117494</w:t>
            </w:r>
          </w:p>
        </w:tc>
        <w:tc>
          <w:tcPr>
            <w:tcW w:w="816" w:type="pct"/>
            <w:hideMark/>
          </w:tcPr>
          <w:p w14:paraId="3593882D"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-7.625319</w:t>
            </w:r>
          </w:p>
        </w:tc>
        <w:tc>
          <w:tcPr>
            <w:tcW w:w="816" w:type="pct"/>
            <w:hideMark/>
          </w:tcPr>
          <w:p w14:paraId="77DBE390"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-8.793654</w:t>
            </w:r>
          </w:p>
        </w:tc>
      </w:tr>
      <w:tr w:rsidR="00FA71B9" w:rsidRPr="00FA71B9" w14:paraId="28BBCE82" w14:textId="77777777" w:rsidTr="00107EFD">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7" w:type="pct"/>
          </w:tcPr>
          <w:p w14:paraId="64722053" w14:textId="77777777" w:rsidR="00FA71B9" w:rsidRPr="00FA71B9" w:rsidRDefault="00FA71B9" w:rsidP="00FA71B9">
            <w:pPr>
              <w:jc w:val="both"/>
              <w:rPr>
                <w:rFonts w:ascii="Garamond" w:hAnsi="Garamond"/>
                <w:lang w:val="en-US"/>
              </w:rPr>
            </w:pPr>
          </w:p>
        </w:tc>
        <w:tc>
          <w:tcPr>
            <w:tcW w:w="714" w:type="pct"/>
          </w:tcPr>
          <w:p w14:paraId="094F0F16"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390266EE"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714" w:type="pct"/>
          </w:tcPr>
          <w:p w14:paraId="2C338B2F"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506F51EE"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59A6F8B7"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16" w:type="pct"/>
          </w:tcPr>
          <w:p w14:paraId="75A07BD7"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12BBC608" w14:textId="77777777" w:rsidTr="00107EFD">
        <w:trPr>
          <w:trHeight w:hRule="exact" w:val="135"/>
        </w:trPr>
        <w:tc>
          <w:tcPr>
            <w:cnfStyle w:val="001000000000" w:firstRow="0" w:lastRow="0" w:firstColumn="1" w:lastColumn="0" w:oddVBand="0" w:evenVBand="0" w:oddHBand="0" w:evenHBand="0" w:firstRowFirstColumn="0" w:firstRowLastColumn="0" w:lastRowFirstColumn="0" w:lastRowLastColumn="0"/>
            <w:tcW w:w="307" w:type="pct"/>
          </w:tcPr>
          <w:p w14:paraId="47EE1E2E" w14:textId="77777777" w:rsidR="00FA71B9" w:rsidRPr="00FA71B9" w:rsidRDefault="00FA71B9" w:rsidP="00FA71B9">
            <w:pPr>
              <w:jc w:val="both"/>
              <w:rPr>
                <w:rFonts w:ascii="Garamond" w:hAnsi="Garamond"/>
                <w:lang w:val="en-US"/>
              </w:rPr>
            </w:pPr>
          </w:p>
        </w:tc>
        <w:tc>
          <w:tcPr>
            <w:tcW w:w="714" w:type="pct"/>
          </w:tcPr>
          <w:p w14:paraId="15089318"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04FFC508"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714" w:type="pct"/>
          </w:tcPr>
          <w:p w14:paraId="6336780E"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3BA89B1C"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4E535BD6"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16" w:type="pct"/>
          </w:tcPr>
          <w:p w14:paraId="6EF6F256"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bl>
    <w:p w14:paraId="308FC9BF" w14:textId="0FE8556A" w:rsidR="00FA71B9" w:rsidRDefault="00FA71B9" w:rsidP="00FA71B9">
      <w:pPr>
        <w:jc w:val="both"/>
        <w:rPr>
          <w:rFonts w:ascii="Garamond" w:hAnsi="Garamond"/>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p>
    <w:p w14:paraId="336A2C3E" w14:textId="309E4A7E" w:rsidR="003C1CF5" w:rsidRDefault="003C1CF5" w:rsidP="009162A6">
      <w:pPr>
        <w:ind w:firstLine="360"/>
        <w:jc w:val="both"/>
        <w:rPr>
          <w:rFonts w:ascii="Garamond" w:hAnsi="Garamond"/>
        </w:rPr>
      </w:pPr>
      <w:r w:rsidRPr="003C1CF5">
        <w:rPr>
          <w:rFonts w:ascii="Garamond" w:hAnsi="Garamond"/>
        </w:rPr>
        <w:t xml:space="preserve">The Johansen cointegration results reported in Table 5 indicate the presence of a single statistically significant cointegration equation at the 5% level. This is known from the trace statistic value (35.73) and max-eigen statistic (24.92), which exceed the critical value of 5%. This finding indicates a stable </w:t>
      </w:r>
      <w:r w:rsidR="00044302">
        <w:rPr>
          <w:rFonts w:ascii="Garamond" w:hAnsi="Garamond"/>
        </w:rPr>
        <w:t>long-term</w:t>
      </w:r>
      <w:r w:rsidRPr="003C1CF5">
        <w:rPr>
          <w:rFonts w:ascii="Garamond" w:hAnsi="Garamond"/>
        </w:rPr>
        <w:t xml:space="preserve"> relationship among the variables included in the research model.</w:t>
      </w:r>
    </w:p>
    <w:p w14:paraId="22516E0C" w14:textId="0A66931D" w:rsidR="00FA71B9" w:rsidRPr="00A411E0" w:rsidRDefault="00FA71B9" w:rsidP="00A411E0">
      <w:pPr>
        <w:jc w:val="center"/>
        <w:rPr>
          <w:rFonts w:ascii="Garamond" w:hAnsi="Garamond"/>
          <w:b/>
          <w:bCs/>
        </w:rPr>
      </w:pPr>
      <w:r w:rsidRPr="00A411E0">
        <w:rPr>
          <w:rFonts w:ascii="Garamond" w:hAnsi="Garamond"/>
          <w:b/>
          <w:bCs/>
        </w:rPr>
        <w:t>Table 5. Johansen cointegration test results</w:t>
      </w:r>
    </w:p>
    <w:tbl>
      <w:tblPr>
        <w:tblStyle w:val="PlainTable1"/>
        <w:tblW w:w="5000" w:type="pct"/>
        <w:tblLook w:val="04A0" w:firstRow="1" w:lastRow="0" w:firstColumn="1" w:lastColumn="0" w:noHBand="0" w:noVBand="1"/>
      </w:tblPr>
      <w:tblGrid>
        <w:gridCol w:w="1861"/>
        <w:gridCol w:w="1560"/>
        <w:gridCol w:w="1289"/>
        <w:gridCol w:w="1897"/>
        <w:gridCol w:w="1289"/>
        <w:gridCol w:w="1840"/>
      </w:tblGrid>
      <w:tr w:rsidR="00FA71B9" w:rsidRPr="00FA71B9" w14:paraId="559D8BB4" w14:textId="77777777" w:rsidTr="00A411E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56" w:type="pct"/>
            <w:vMerge w:val="restart"/>
            <w:hideMark/>
          </w:tcPr>
          <w:p w14:paraId="10F81441" w14:textId="77777777" w:rsidR="00FA71B9" w:rsidRPr="00FA71B9" w:rsidRDefault="00FA71B9" w:rsidP="00A411E0">
            <w:pPr>
              <w:jc w:val="center"/>
              <w:rPr>
                <w:rFonts w:ascii="Garamond" w:hAnsi="Garamond"/>
                <w:lang w:val="en-US"/>
              </w:rPr>
            </w:pPr>
            <w:r w:rsidRPr="00FA71B9">
              <w:rPr>
                <w:rFonts w:ascii="Garamond" w:hAnsi="Garamond"/>
                <w:lang w:val="en-US"/>
              </w:rPr>
              <w:t>Hypothesized No. of CE(s)</w:t>
            </w:r>
          </w:p>
        </w:tc>
        <w:tc>
          <w:tcPr>
            <w:tcW w:w="801" w:type="pct"/>
            <w:vMerge w:val="restart"/>
            <w:noWrap/>
            <w:vAlign w:val="center"/>
            <w:hideMark/>
          </w:tcPr>
          <w:p w14:paraId="182DCC3F" w14:textId="77777777" w:rsidR="00FA71B9" w:rsidRPr="00FA71B9" w:rsidRDefault="00FA71B9" w:rsidP="00A411E0">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Eigenvalue</w:t>
            </w:r>
          </w:p>
        </w:tc>
        <w:tc>
          <w:tcPr>
            <w:tcW w:w="1636" w:type="pct"/>
            <w:gridSpan w:val="2"/>
            <w:noWrap/>
            <w:hideMark/>
          </w:tcPr>
          <w:p w14:paraId="30013D11" w14:textId="77777777" w:rsidR="00FA71B9" w:rsidRPr="00FA71B9" w:rsidRDefault="00FA71B9" w:rsidP="00A411E0">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Trace</w:t>
            </w:r>
          </w:p>
        </w:tc>
        <w:tc>
          <w:tcPr>
            <w:tcW w:w="1607" w:type="pct"/>
            <w:gridSpan w:val="2"/>
            <w:noWrap/>
            <w:hideMark/>
          </w:tcPr>
          <w:p w14:paraId="3A908726" w14:textId="77777777" w:rsidR="00FA71B9" w:rsidRPr="00FA71B9" w:rsidRDefault="00FA71B9" w:rsidP="00A411E0">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Max-Eigen</w:t>
            </w:r>
          </w:p>
        </w:tc>
      </w:tr>
      <w:tr w:rsidR="00FA71B9" w:rsidRPr="00FA71B9" w14:paraId="71E9D52A" w14:textId="77777777" w:rsidTr="00A411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8055C7F" w14:textId="77777777" w:rsidR="00FA71B9" w:rsidRPr="00FA71B9" w:rsidRDefault="00FA71B9" w:rsidP="00FA71B9">
            <w:pPr>
              <w:jc w:val="both"/>
              <w:rPr>
                <w:rFonts w:ascii="Garamond" w:hAnsi="Garamond"/>
                <w:lang w:val="en-US"/>
              </w:rPr>
            </w:pPr>
          </w:p>
        </w:tc>
        <w:tc>
          <w:tcPr>
            <w:tcW w:w="0" w:type="auto"/>
            <w:vMerge/>
            <w:hideMark/>
          </w:tcPr>
          <w:p w14:paraId="20BA4164"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p>
        </w:tc>
        <w:tc>
          <w:tcPr>
            <w:tcW w:w="662" w:type="pct"/>
            <w:noWrap/>
            <w:hideMark/>
          </w:tcPr>
          <w:p w14:paraId="246B5739"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FA71B9">
              <w:rPr>
                <w:rFonts w:ascii="Garamond" w:hAnsi="Garamond"/>
                <w:b/>
                <w:bCs/>
                <w:lang w:val="en-US"/>
              </w:rPr>
              <w:t>Statistic</w:t>
            </w:r>
          </w:p>
        </w:tc>
        <w:tc>
          <w:tcPr>
            <w:tcW w:w="974" w:type="pct"/>
            <w:noWrap/>
            <w:hideMark/>
          </w:tcPr>
          <w:p w14:paraId="44FDDA88"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FA71B9">
              <w:rPr>
                <w:rFonts w:ascii="Garamond" w:hAnsi="Garamond"/>
                <w:b/>
                <w:bCs/>
                <w:lang w:val="en-US"/>
              </w:rPr>
              <w:t>Critical Value</w:t>
            </w:r>
          </w:p>
        </w:tc>
        <w:tc>
          <w:tcPr>
            <w:tcW w:w="662" w:type="pct"/>
            <w:noWrap/>
            <w:hideMark/>
          </w:tcPr>
          <w:p w14:paraId="59B56F6B"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FA71B9">
              <w:rPr>
                <w:rFonts w:ascii="Garamond" w:hAnsi="Garamond"/>
                <w:b/>
                <w:bCs/>
                <w:lang w:val="en-US"/>
              </w:rPr>
              <w:t>Statistic</w:t>
            </w:r>
          </w:p>
        </w:tc>
        <w:tc>
          <w:tcPr>
            <w:tcW w:w="945" w:type="pct"/>
            <w:noWrap/>
            <w:hideMark/>
          </w:tcPr>
          <w:p w14:paraId="208037CF"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b/>
                <w:bCs/>
                <w:lang w:val="en-US"/>
              </w:rPr>
            </w:pPr>
            <w:r w:rsidRPr="00FA71B9">
              <w:rPr>
                <w:rFonts w:ascii="Garamond" w:hAnsi="Garamond"/>
                <w:b/>
                <w:bCs/>
                <w:lang w:val="en-US"/>
              </w:rPr>
              <w:t>Critical Value</w:t>
            </w:r>
          </w:p>
        </w:tc>
      </w:tr>
      <w:tr w:rsidR="00FA71B9" w:rsidRPr="00FA71B9" w14:paraId="34D38135" w14:textId="77777777" w:rsidTr="00A411E0">
        <w:trPr>
          <w:trHeight w:val="300"/>
        </w:trPr>
        <w:tc>
          <w:tcPr>
            <w:cnfStyle w:val="001000000000" w:firstRow="0" w:lastRow="0" w:firstColumn="1" w:lastColumn="0" w:oddVBand="0" w:evenVBand="0" w:oddHBand="0" w:evenHBand="0" w:firstRowFirstColumn="0" w:firstRowLastColumn="0" w:lastRowFirstColumn="0" w:lastRowLastColumn="0"/>
            <w:tcW w:w="956" w:type="pct"/>
            <w:noWrap/>
            <w:hideMark/>
          </w:tcPr>
          <w:p w14:paraId="32A3ABB6" w14:textId="77777777" w:rsidR="00FA71B9" w:rsidRPr="00FA71B9" w:rsidRDefault="00FA71B9" w:rsidP="00FA71B9">
            <w:pPr>
              <w:jc w:val="both"/>
              <w:rPr>
                <w:rFonts w:ascii="Garamond" w:hAnsi="Garamond"/>
                <w:vertAlign w:val="superscript"/>
                <w:lang w:val="en-US"/>
              </w:rPr>
            </w:pPr>
            <w:r w:rsidRPr="00FA71B9">
              <w:rPr>
                <w:rFonts w:ascii="Garamond" w:hAnsi="Garamond"/>
                <w:lang w:val="en-US"/>
              </w:rPr>
              <w:t>None</w:t>
            </w:r>
            <w:r w:rsidRPr="00FA71B9">
              <w:rPr>
                <w:rFonts w:ascii="Garamond" w:hAnsi="Garamond"/>
                <w:vertAlign w:val="superscript"/>
                <w:lang w:val="en-US"/>
              </w:rPr>
              <w:t>*</w:t>
            </w:r>
          </w:p>
        </w:tc>
        <w:tc>
          <w:tcPr>
            <w:tcW w:w="801" w:type="pct"/>
            <w:noWrap/>
            <w:hideMark/>
          </w:tcPr>
          <w:p w14:paraId="4BFF3DE8"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0.677816</w:t>
            </w:r>
          </w:p>
        </w:tc>
        <w:tc>
          <w:tcPr>
            <w:tcW w:w="662" w:type="pct"/>
            <w:noWrap/>
            <w:hideMark/>
          </w:tcPr>
          <w:p w14:paraId="19F6D07D"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vertAlign w:val="superscript"/>
                <w:lang w:val="en-US"/>
              </w:rPr>
            </w:pPr>
            <w:r w:rsidRPr="00FA71B9">
              <w:rPr>
                <w:rFonts w:ascii="Garamond" w:hAnsi="Garamond"/>
                <w:b/>
                <w:bCs/>
                <w:lang w:val="en-US"/>
              </w:rPr>
              <w:t>35.73023</w:t>
            </w:r>
          </w:p>
        </w:tc>
        <w:tc>
          <w:tcPr>
            <w:tcW w:w="974" w:type="pct"/>
            <w:noWrap/>
            <w:hideMark/>
          </w:tcPr>
          <w:p w14:paraId="2CA911C5"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29.79707</w:t>
            </w:r>
          </w:p>
        </w:tc>
        <w:tc>
          <w:tcPr>
            <w:tcW w:w="662" w:type="pct"/>
            <w:noWrap/>
            <w:hideMark/>
          </w:tcPr>
          <w:p w14:paraId="6D1B7B8B"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24.91791</w:t>
            </w:r>
          </w:p>
        </w:tc>
        <w:tc>
          <w:tcPr>
            <w:tcW w:w="945" w:type="pct"/>
            <w:noWrap/>
            <w:hideMark/>
          </w:tcPr>
          <w:p w14:paraId="525F808D"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21.13162</w:t>
            </w:r>
          </w:p>
        </w:tc>
      </w:tr>
      <w:tr w:rsidR="00FA71B9" w:rsidRPr="00FA71B9" w14:paraId="1548997E" w14:textId="77777777" w:rsidTr="00A411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6" w:type="pct"/>
            <w:noWrap/>
            <w:hideMark/>
          </w:tcPr>
          <w:p w14:paraId="31109BE1" w14:textId="77777777" w:rsidR="00FA71B9" w:rsidRPr="00FA71B9" w:rsidRDefault="00FA71B9" w:rsidP="00FA71B9">
            <w:pPr>
              <w:jc w:val="both"/>
              <w:rPr>
                <w:rFonts w:ascii="Garamond" w:hAnsi="Garamond"/>
                <w:lang w:val="en-US"/>
              </w:rPr>
            </w:pPr>
            <w:r w:rsidRPr="00FA71B9">
              <w:rPr>
                <w:rFonts w:ascii="Garamond" w:hAnsi="Garamond"/>
                <w:lang w:val="en-US"/>
              </w:rPr>
              <w:t>At most 1</w:t>
            </w:r>
          </w:p>
        </w:tc>
        <w:tc>
          <w:tcPr>
            <w:tcW w:w="801" w:type="pct"/>
            <w:noWrap/>
            <w:hideMark/>
          </w:tcPr>
          <w:p w14:paraId="6538E778"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0.326475</w:t>
            </w:r>
          </w:p>
        </w:tc>
        <w:tc>
          <w:tcPr>
            <w:tcW w:w="662" w:type="pct"/>
            <w:noWrap/>
            <w:hideMark/>
          </w:tcPr>
          <w:p w14:paraId="5314D38A"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vertAlign w:val="superscript"/>
                <w:lang w:val="en-US"/>
              </w:rPr>
            </w:pPr>
            <w:r w:rsidRPr="00FA71B9">
              <w:rPr>
                <w:rFonts w:ascii="Garamond" w:hAnsi="Garamond"/>
                <w:lang w:val="en-US"/>
              </w:rPr>
              <w:t>10.81232</w:t>
            </w:r>
          </w:p>
        </w:tc>
        <w:tc>
          <w:tcPr>
            <w:tcW w:w="974" w:type="pct"/>
            <w:noWrap/>
            <w:hideMark/>
          </w:tcPr>
          <w:p w14:paraId="61043304"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15.49471</w:t>
            </w:r>
          </w:p>
        </w:tc>
        <w:tc>
          <w:tcPr>
            <w:tcW w:w="662" w:type="pct"/>
            <w:noWrap/>
            <w:hideMark/>
          </w:tcPr>
          <w:p w14:paraId="79261124"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8.695065</w:t>
            </w:r>
          </w:p>
        </w:tc>
        <w:tc>
          <w:tcPr>
            <w:tcW w:w="945" w:type="pct"/>
            <w:noWrap/>
            <w:hideMark/>
          </w:tcPr>
          <w:p w14:paraId="446C9979" w14:textId="77777777" w:rsidR="00FA71B9" w:rsidRPr="00FA71B9" w:rsidRDefault="00FA71B9" w:rsidP="00A411E0">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14.26460</w:t>
            </w:r>
          </w:p>
        </w:tc>
      </w:tr>
      <w:tr w:rsidR="00FA71B9" w:rsidRPr="00FA71B9" w14:paraId="12AD5D39" w14:textId="77777777" w:rsidTr="00A411E0">
        <w:trPr>
          <w:trHeight w:val="300"/>
        </w:trPr>
        <w:tc>
          <w:tcPr>
            <w:cnfStyle w:val="001000000000" w:firstRow="0" w:lastRow="0" w:firstColumn="1" w:lastColumn="0" w:oddVBand="0" w:evenVBand="0" w:oddHBand="0" w:evenHBand="0" w:firstRowFirstColumn="0" w:firstRowLastColumn="0" w:lastRowFirstColumn="0" w:lastRowLastColumn="0"/>
            <w:tcW w:w="956" w:type="pct"/>
            <w:noWrap/>
            <w:hideMark/>
          </w:tcPr>
          <w:p w14:paraId="1D3524C8" w14:textId="77777777" w:rsidR="00FA71B9" w:rsidRPr="00FA71B9" w:rsidRDefault="00FA71B9" w:rsidP="00FA71B9">
            <w:pPr>
              <w:jc w:val="both"/>
              <w:rPr>
                <w:rFonts w:ascii="Garamond" w:hAnsi="Garamond"/>
                <w:lang w:val="en-US"/>
              </w:rPr>
            </w:pPr>
            <w:r w:rsidRPr="00FA71B9">
              <w:rPr>
                <w:rFonts w:ascii="Garamond" w:hAnsi="Garamond"/>
                <w:lang w:val="en-US"/>
              </w:rPr>
              <w:t>At most 2</w:t>
            </w:r>
          </w:p>
        </w:tc>
        <w:tc>
          <w:tcPr>
            <w:tcW w:w="801" w:type="pct"/>
            <w:noWrap/>
            <w:hideMark/>
          </w:tcPr>
          <w:p w14:paraId="1AD0D45D"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0.091753</w:t>
            </w:r>
          </w:p>
        </w:tc>
        <w:tc>
          <w:tcPr>
            <w:tcW w:w="662" w:type="pct"/>
            <w:noWrap/>
            <w:hideMark/>
          </w:tcPr>
          <w:p w14:paraId="586FC71B"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0.091753</w:t>
            </w:r>
          </w:p>
        </w:tc>
        <w:tc>
          <w:tcPr>
            <w:tcW w:w="974" w:type="pct"/>
            <w:noWrap/>
            <w:hideMark/>
          </w:tcPr>
          <w:p w14:paraId="5336300C"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2.117253</w:t>
            </w:r>
          </w:p>
        </w:tc>
        <w:tc>
          <w:tcPr>
            <w:tcW w:w="662" w:type="pct"/>
            <w:noWrap/>
            <w:hideMark/>
          </w:tcPr>
          <w:p w14:paraId="60DE2302"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2.117253</w:t>
            </w:r>
          </w:p>
        </w:tc>
        <w:tc>
          <w:tcPr>
            <w:tcW w:w="945" w:type="pct"/>
            <w:noWrap/>
            <w:hideMark/>
          </w:tcPr>
          <w:p w14:paraId="44F1FE16" w14:textId="77777777" w:rsidR="00FA71B9" w:rsidRPr="00FA71B9" w:rsidRDefault="00FA71B9" w:rsidP="00A411E0">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3.841466</w:t>
            </w:r>
          </w:p>
        </w:tc>
      </w:tr>
    </w:tbl>
    <w:p w14:paraId="0B2DDF38" w14:textId="35720565" w:rsidR="00FA71B9" w:rsidRDefault="00FA71B9" w:rsidP="00FA71B9">
      <w:pPr>
        <w:jc w:val="both"/>
        <w:rPr>
          <w:rFonts w:ascii="Garamond" w:hAnsi="Garamond"/>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p>
    <w:p w14:paraId="40974F95" w14:textId="7E70CBBC" w:rsidR="003C1CF5" w:rsidRDefault="003C1CF5" w:rsidP="009162A6">
      <w:pPr>
        <w:ind w:firstLine="360"/>
        <w:jc w:val="both"/>
        <w:rPr>
          <w:rFonts w:ascii="Garamond" w:hAnsi="Garamond"/>
        </w:rPr>
      </w:pPr>
      <w:r w:rsidRPr="003C1CF5">
        <w:rPr>
          <w:rFonts w:ascii="Garamond" w:hAnsi="Garamond"/>
        </w:rPr>
        <w:t xml:space="preserve">After proving that there is one significant cointegration equation, the analysis continues with the Granger causality test to identify the direction of the causal relationship among the variables. This stage is important to reveal the short-term dynamics and direction of influence underlying the structural relationship found in the cointegration stage. The results in Table 6 confirm </w:t>
      </w:r>
      <w:r w:rsidR="002064AC">
        <w:rPr>
          <w:rFonts w:ascii="Garamond" w:hAnsi="Garamond"/>
        </w:rPr>
        <w:t>unidirectional</w:t>
      </w:r>
      <w:r w:rsidRPr="003C1CF5">
        <w:rPr>
          <w:rFonts w:ascii="Garamond" w:hAnsi="Garamond"/>
        </w:rPr>
        <w:t xml:space="preserve"> relationship from</w:t>
      </w:r>
      <w:r w:rsidR="002064AC">
        <w:rPr>
          <w:rFonts w:ascii="Garamond" w:hAnsi="Garamond"/>
        </w:rPr>
        <w:t xml:space="preserve"> economic growth</w:t>
      </w:r>
      <w:r w:rsidRPr="003C1CF5">
        <w:rPr>
          <w:rFonts w:ascii="Garamond" w:hAnsi="Garamond"/>
        </w:rPr>
        <w:t xml:space="preserve"> to military expenditure (p = 0.0213), thereby rejecting the null hypothesis. This means that economic growth drives an increase in </w:t>
      </w:r>
      <w:proofErr w:type="spellStart"/>
      <w:r w:rsidRPr="003C1CF5">
        <w:rPr>
          <w:rFonts w:ascii="Garamond" w:hAnsi="Garamond"/>
        </w:rPr>
        <w:t>defense</w:t>
      </w:r>
      <w:proofErr w:type="spellEnd"/>
      <w:r w:rsidRPr="003C1CF5">
        <w:rPr>
          <w:rFonts w:ascii="Garamond" w:hAnsi="Garamond"/>
        </w:rPr>
        <w:t xml:space="preserve"> spending</w:t>
      </w:r>
      <w:r w:rsidR="002064AC">
        <w:rPr>
          <w:rFonts w:ascii="Garamond" w:hAnsi="Garamond"/>
        </w:rPr>
        <w:t xml:space="preserve"> and consistent with Wagner’s Law</w:t>
      </w:r>
      <w:r w:rsidRPr="003C1CF5">
        <w:rPr>
          <w:rFonts w:ascii="Garamond" w:hAnsi="Garamond"/>
        </w:rPr>
        <w:t>, not the other way around.</w:t>
      </w:r>
      <w:r w:rsidR="00F44669">
        <w:rPr>
          <w:rFonts w:ascii="Garamond" w:hAnsi="Garamond"/>
        </w:rPr>
        <w:t xml:space="preserve"> No feedback effect from military expenditure to economic growth was found, indicating that </w:t>
      </w:r>
      <w:proofErr w:type="spellStart"/>
      <w:r w:rsidR="00F44669">
        <w:rPr>
          <w:rFonts w:ascii="Garamond" w:hAnsi="Garamond"/>
        </w:rPr>
        <w:t>indonesia’s</w:t>
      </w:r>
      <w:proofErr w:type="spellEnd"/>
      <w:r w:rsidR="00F44669">
        <w:rPr>
          <w:rFonts w:ascii="Garamond" w:hAnsi="Garamond"/>
        </w:rPr>
        <w:t xml:space="preserve"> </w:t>
      </w:r>
      <w:proofErr w:type="spellStart"/>
      <w:r w:rsidR="00F44669">
        <w:rPr>
          <w:rFonts w:ascii="Garamond" w:hAnsi="Garamond"/>
        </w:rPr>
        <w:t>defense</w:t>
      </w:r>
      <w:proofErr w:type="spellEnd"/>
      <w:r w:rsidR="00F44669">
        <w:rPr>
          <w:rFonts w:ascii="Garamond" w:hAnsi="Garamond"/>
        </w:rPr>
        <w:t xml:space="preserve"> budget remains largely fiscally responsive, not a primary engine of growth.</w:t>
      </w:r>
      <w:r w:rsidRPr="003C1CF5">
        <w:rPr>
          <w:rFonts w:ascii="Garamond" w:hAnsi="Garamond"/>
        </w:rPr>
        <w:t xml:space="preserve"> Furthermore, Granger causality was found from military expenditure to the exchange rate (p = 0.0094), thus rejecting the null hypothesis. This reflects that the dynamics of military expenditure can affect the movement of the rupiah exchange rate</w:t>
      </w:r>
      <w:r w:rsidR="002064AC">
        <w:rPr>
          <w:rFonts w:ascii="Garamond" w:hAnsi="Garamond"/>
        </w:rPr>
        <w:t xml:space="preserve"> and supporting the Mundell-Fleming mechanism</w:t>
      </w:r>
      <w:r w:rsidRPr="003C1CF5">
        <w:rPr>
          <w:rFonts w:ascii="Garamond" w:hAnsi="Garamond"/>
        </w:rPr>
        <w:t>.</w:t>
      </w:r>
      <w:r w:rsidR="00F44669">
        <w:rPr>
          <w:rFonts w:ascii="Garamond" w:hAnsi="Garamond"/>
        </w:rPr>
        <w:t xml:space="preserve"> </w:t>
      </w:r>
      <w:r w:rsidRPr="003C1CF5">
        <w:rPr>
          <w:rFonts w:ascii="Garamond" w:hAnsi="Garamond"/>
        </w:rPr>
        <w:t xml:space="preserve">Meanwhile, no significant causal relationship was found between </w:t>
      </w:r>
      <w:r w:rsidR="002064AC">
        <w:rPr>
          <w:rFonts w:ascii="Garamond" w:hAnsi="Garamond"/>
        </w:rPr>
        <w:t>economic growth</w:t>
      </w:r>
      <w:r w:rsidRPr="003C1CF5">
        <w:rPr>
          <w:rFonts w:ascii="Garamond" w:hAnsi="Garamond"/>
        </w:rPr>
        <w:t xml:space="preserve"> and the exchange rate</w:t>
      </w:r>
      <w:r>
        <w:rPr>
          <w:rFonts w:ascii="Garamond" w:hAnsi="Garamond"/>
        </w:rPr>
        <w:t>.</w:t>
      </w:r>
    </w:p>
    <w:p w14:paraId="2AA4E5E7" w14:textId="77777777" w:rsidR="00CA0AB4" w:rsidRDefault="00CA0AB4" w:rsidP="009162A6">
      <w:pPr>
        <w:ind w:firstLine="360"/>
        <w:jc w:val="both"/>
        <w:rPr>
          <w:rFonts w:ascii="Garamond" w:hAnsi="Garamond"/>
        </w:rPr>
      </w:pPr>
    </w:p>
    <w:p w14:paraId="7A1315C6" w14:textId="63EF5732" w:rsidR="00FA71B9" w:rsidRPr="00B60E62" w:rsidRDefault="00FA71B9" w:rsidP="00B60E62">
      <w:pPr>
        <w:jc w:val="center"/>
        <w:rPr>
          <w:rFonts w:ascii="Garamond" w:hAnsi="Garamond"/>
          <w:b/>
          <w:bCs/>
        </w:rPr>
      </w:pPr>
      <w:r w:rsidRPr="00B60E62">
        <w:rPr>
          <w:rFonts w:ascii="Garamond" w:hAnsi="Garamond"/>
          <w:b/>
          <w:bCs/>
        </w:rPr>
        <w:lastRenderedPageBreak/>
        <w:t>Table 6. Granger causality test results</w:t>
      </w:r>
    </w:p>
    <w:tbl>
      <w:tblPr>
        <w:tblStyle w:val="PlainTable1"/>
        <w:tblW w:w="5000" w:type="pct"/>
        <w:tblLook w:val="04A0" w:firstRow="1" w:lastRow="0" w:firstColumn="1" w:lastColumn="0" w:noHBand="0" w:noVBand="1"/>
      </w:tblPr>
      <w:tblGrid>
        <w:gridCol w:w="5939"/>
        <w:gridCol w:w="948"/>
        <w:gridCol w:w="1661"/>
        <w:gridCol w:w="1188"/>
      </w:tblGrid>
      <w:tr w:rsidR="00FA71B9" w:rsidRPr="00FA71B9" w14:paraId="00EC0AC1" w14:textId="77777777" w:rsidTr="00AC5A8E">
        <w:trPr>
          <w:cnfStyle w:val="100000000000" w:firstRow="1" w:lastRow="0" w:firstColumn="0" w:lastColumn="0" w:oddVBand="0" w:evenVBand="0" w:oddHBand="0"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50" w:type="pct"/>
          </w:tcPr>
          <w:p w14:paraId="5FE9D1EE" w14:textId="77777777" w:rsidR="00FA71B9" w:rsidRPr="00FA71B9" w:rsidRDefault="00FA71B9" w:rsidP="00FA71B9">
            <w:pPr>
              <w:jc w:val="both"/>
              <w:rPr>
                <w:rFonts w:ascii="Garamond" w:hAnsi="Garamond"/>
                <w:lang w:val="en-US"/>
              </w:rPr>
            </w:pPr>
          </w:p>
        </w:tc>
        <w:tc>
          <w:tcPr>
            <w:tcW w:w="487" w:type="pct"/>
          </w:tcPr>
          <w:p w14:paraId="28277D5D"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853" w:type="pct"/>
          </w:tcPr>
          <w:p w14:paraId="0E0133D4"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c>
          <w:tcPr>
            <w:tcW w:w="610" w:type="pct"/>
          </w:tcPr>
          <w:p w14:paraId="5F2DF3BA" w14:textId="77777777" w:rsidR="00FA71B9" w:rsidRPr="00FA71B9" w:rsidRDefault="00FA71B9" w:rsidP="00FA71B9">
            <w:pPr>
              <w:jc w:val="both"/>
              <w:cnfStyle w:val="100000000000" w:firstRow="1"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4445A05A" w14:textId="77777777" w:rsidTr="00AC5A8E">
        <w:trPr>
          <w:cnfStyle w:val="000000100000" w:firstRow="0" w:lastRow="0" w:firstColumn="0" w:lastColumn="0" w:oddVBand="0" w:evenVBand="0" w:oddHBand="1" w:evenHBand="0" w:firstRowFirstColumn="0" w:firstRowLastColumn="0" w:lastRowFirstColumn="0" w:lastRowLastColumn="0"/>
          <w:trHeight w:hRule="exact" w:val="135"/>
        </w:trPr>
        <w:tc>
          <w:tcPr>
            <w:cnfStyle w:val="001000000000" w:firstRow="0" w:lastRow="0" w:firstColumn="1" w:lastColumn="0" w:oddVBand="0" w:evenVBand="0" w:oddHBand="0" w:evenHBand="0" w:firstRowFirstColumn="0" w:firstRowLastColumn="0" w:lastRowFirstColumn="0" w:lastRowLastColumn="0"/>
            <w:tcW w:w="3050" w:type="pct"/>
          </w:tcPr>
          <w:p w14:paraId="7A653BF7" w14:textId="77777777" w:rsidR="00FA71B9" w:rsidRPr="00FA71B9" w:rsidRDefault="00FA71B9" w:rsidP="00FA71B9">
            <w:pPr>
              <w:jc w:val="both"/>
              <w:rPr>
                <w:rFonts w:ascii="Garamond" w:hAnsi="Garamond"/>
                <w:lang w:val="en-US"/>
              </w:rPr>
            </w:pPr>
          </w:p>
        </w:tc>
        <w:tc>
          <w:tcPr>
            <w:tcW w:w="487" w:type="pct"/>
          </w:tcPr>
          <w:p w14:paraId="18BA793B"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53" w:type="pct"/>
          </w:tcPr>
          <w:p w14:paraId="44C98D3F"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610" w:type="pct"/>
          </w:tcPr>
          <w:p w14:paraId="033C884D"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17DAFD3C" w14:textId="77777777" w:rsidTr="00AC5A8E">
        <w:trPr>
          <w:trHeight w:val="225"/>
        </w:trPr>
        <w:tc>
          <w:tcPr>
            <w:cnfStyle w:val="001000000000" w:firstRow="0" w:lastRow="0" w:firstColumn="1" w:lastColumn="0" w:oddVBand="0" w:evenVBand="0" w:oddHBand="0" w:evenHBand="0" w:firstRowFirstColumn="0" w:firstRowLastColumn="0" w:lastRowFirstColumn="0" w:lastRowLastColumn="0"/>
            <w:tcW w:w="3050" w:type="pct"/>
            <w:hideMark/>
          </w:tcPr>
          <w:p w14:paraId="3E25873F" w14:textId="77777777" w:rsidR="00FA71B9" w:rsidRPr="00FA71B9" w:rsidRDefault="00FA71B9" w:rsidP="00FA71B9">
            <w:pPr>
              <w:jc w:val="both"/>
              <w:rPr>
                <w:rFonts w:ascii="Garamond" w:hAnsi="Garamond"/>
                <w:lang w:val="en-US"/>
              </w:rPr>
            </w:pPr>
            <w:r w:rsidRPr="00FA71B9">
              <w:rPr>
                <w:rFonts w:ascii="Garamond" w:hAnsi="Garamond"/>
                <w:lang w:val="en-US"/>
              </w:rPr>
              <w:t> Null Hypothesis:</w:t>
            </w:r>
          </w:p>
        </w:tc>
        <w:tc>
          <w:tcPr>
            <w:tcW w:w="487" w:type="pct"/>
            <w:hideMark/>
          </w:tcPr>
          <w:p w14:paraId="40C2519B" w14:textId="77777777"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proofErr w:type="spellStart"/>
            <w:r w:rsidRPr="00FA71B9">
              <w:rPr>
                <w:rFonts w:ascii="Garamond" w:hAnsi="Garamond"/>
                <w:b/>
                <w:bCs/>
                <w:lang w:val="en-US"/>
              </w:rPr>
              <w:t>Obs</w:t>
            </w:r>
            <w:proofErr w:type="spellEnd"/>
          </w:p>
        </w:tc>
        <w:tc>
          <w:tcPr>
            <w:tcW w:w="853" w:type="pct"/>
            <w:hideMark/>
          </w:tcPr>
          <w:p w14:paraId="79C1795A" w14:textId="77777777"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F-Statistic</w:t>
            </w:r>
          </w:p>
        </w:tc>
        <w:tc>
          <w:tcPr>
            <w:tcW w:w="610" w:type="pct"/>
            <w:hideMark/>
          </w:tcPr>
          <w:p w14:paraId="0E596DEE" w14:textId="65A8825B"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Prob.</w:t>
            </w:r>
          </w:p>
        </w:tc>
      </w:tr>
      <w:tr w:rsidR="00FA71B9" w:rsidRPr="00FA71B9" w14:paraId="4918C555" w14:textId="77777777" w:rsidTr="00AC5A8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50" w:type="pct"/>
          </w:tcPr>
          <w:p w14:paraId="47319BFF" w14:textId="77777777" w:rsidR="00FA71B9" w:rsidRPr="00FA71B9" w:rsidRDefault="00FA71B9" w:rsidP="00FA71B9">
            <w:pPr>
              <w:jc w:val="both"/>
              <w:rPr>
                <w:rFonts w:ascii="Garamond" w:hAnsi="Garamond"/>
                <w:lang w:val="en-US"/>
              </w:rPr>
            </w:pPr>
          </w:p>
        </w:tc>
        <w:tc>
          <w:tcPr>
            <w:tcW w:w="487" w:type="pct"/>
          </w:tcPr>
          <w:p w14:paraId="553A5E20"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53" w:type="pct"/>
          </w:tcPr>
          <w:p w14:paraId="3B39DF52"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610" w:type="pct"/>
          </w:tcPr>
          <w:p w14:paraId="363923A2"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093197CB" w14:textId="77777777" w:rsidTr="00AC5A8E">
        <w:trPr>
          <w:trHeight w:hRule="exact" w:val="135"/>
        </w:trPr>
        <w:tc>
          <w:tcPr>
            <w:cnfStyle w:val="001000000000" w:firstRow="0" w:lastRow="0" w:firstColumn="1" w:lastColumn="0" w:oddVBand="0" w:evenVBand="0" w:oddHBand="0" w:evenHBand="0" w:firstRowFirstColumn="0" w:firstRowLastColumn="0" w:lastRowFirstColumn="0" w:lastRowLastColumn="0"/>
            <w:tcW w:w="3050" w:type="pct"/>
          </w:tcPr>
          <w:p w14:paraId="565732A8" w14:textId="77777777" w:rsidR="00FA71B9" w:rsidRPr="00FA71B9" w:rsidRDefault="00FA71B9" w:rsidP="00FA71B9">
            <w:pPr>
              <w:jc w:val="both"/>
              <w:rPr>
                <w:rFonts w:ascii="Garamond" w:hAnsi="Garamond"/>
                <w:lang w:val="en-US"/>
              </w:rPr>
            </w:pPr>
          </w:p>
        </w:tc>
        <w:tc>
          <w:tcPr>
            <w:tcW w:w="487" w:type="pct"/>
          </w:tcPr>
          <w:p w14:paraId="6A3F3CA2"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53" w:type="pct"/>
          </w:tcPr>
          <w:p w14:paraId="1705F862"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610" w:type="pct"/>
          </w:tcPr>
          <w:p w14:paraId="5B167FCC"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00849702" w14:textId="77777777" w:rsidTr="00AC5A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0" w:type="pct"/>
            <w:hideMark/>
          </w:tcPr>
          <w:p w14:paraId="4E9902B0" w14:textId="77777777" w:rsidR="00FA71B9" w:rsidRPr="00FA71B9" w:rsidRDefault="00FA71B9" w:rsidP="00FA71B9">
            <w:pPr>
              <w:jc w:val="both"/>
              <w:rPr>
                <w:rFonts w:ascii="Garamond" w:hAnsi="Garamond"/>
                <w:lang w:val="en-US"/>
              </w:rPr>
            </w:pPr>
            <w:r w:rsidRPr="00FA71B9">
              <w:rPr>
                <w:rFonts w:ascii="Garamond" w:hAnsi="Garamond"/>
                <w:lang w:val="en-US"/>
              </w:rPr>
              <w:t> LNME does not Granger-cause LNY</w:t>
            </w:r>
          </w:p>
        </w:tc>
        <w:tc>
          <w:tcPr>
            <w:tcW w:w="487" w:type="pct"/>
            <w:hideMark/>
          </w:tcPr>
          <w:p w14:paraId="5F08FFC3" w14:textId="2877B22C"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23</w:t>
            </w:r>
          </w:p>
        </w:tc>
        <w:tc>
          <w:tcPr>
            <w:tcW w:w="853" w:type="pct"/>
            <w:hideMark/>
          </w:tcPr>
          <w:p w14:paraId="7748D645" w14:textId="0C9DBD7F"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0.99597</w:t>
            </w:r>
          </w:p>
        </w:tc>
        <w:tc>
          <w:tcPr>
            <w:tcW w:w="610" w:type="pct"/>
            <w:hideMark/>
          </w:tcPr>
          <w:p w14:paraId="40510DA0" w14:textId="77777777"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0.3302</w:t>
            </w:r>
          </w:p>
        </w:tc>
      </w:tr>
      <w:tr w:rsidR="00FA71B9" w:rsidRPr="00FA71B9" w14:paraId="1D910CC1" w14:textId="77777777" w:rsidTr="00AC5A8E">
        <w:trPr>
          <w:trHeight w:val="225"/>
        </w:trPr>
        <w:tc>
          <w:tcPr>
            <w:cnfStyle w:val="001000000000" w:firstRow="0" w:lastRow="0" w:firstColumn="1" w:lastColumn="0" w:oddVBand="0" w:evenVBand="0" w:oddHBand="0" w:evenHBand="0" w:firstRowFirstColumn="0" w:firstRowLastColumn="0" w:lastRowFirstColumn="0" w:lastRowLastColumn="0"/>
            <w:tcW w:w="3537" w:type="pct"/>
            <w:gridSpan w:val="2"/>
            <w:hideMark/>
          </w:tcPr>
          <w:p w14:paraId="79A1E012" w14:textId="77777777" w:rsidR="00FA71B9" w:rsidRPr="00FA71B9" w:rsidRDefault="00FA71B9" w:rsidP="00FA71B9">
            <w:pPr>
              <w:jc w:val="both"/>
              <w:rPr>
                <w:rFonts w:ascii="Garamond" w:hAnsi="Garamond"/>
                <w:lang w:val="en-US"/>
              </w:rPr>
            </w:pPr>
            <w:r w:rsidRPr="00FA71B9">
              <w:rPr>
                <w:rFonts w:ascii="Garamond" w:hAnsi="Garamond"/>
                <w:lang w:val="en-US"/>
              </w:rPr>
              <w:t> LNY does not Granger-cause LNME</w:t>
            </w:r>
          </w:p>
        </w:tc>
        <w:tc>
          <w:tcPr>
            <w:tcW w:w="853" w:type="pct"/>
            <w:hideMark/>
          </w:tcPr>
          <w:p w14:paraId="521E0328" w14:textId="1A7B5BD9"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6.24274</w:t>
            </w:r>
          </w:p>
        </w:tc>
        <w:tc>
          <w:tcPr>
            <w:tcW w:w="610" w:type="pct"/>
            <w:hideMark/>
          </w:tcPr>
          <w:p w14:paraId="646BFB35" w14:textId="77777777"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0.0213</w:t>
            </w:r>
          </w:p>
        </w:tc>
      </w:tr>
      <w:tr w:rsidR="00FA71B9" w:rsidRPr="00FA71B9" w14:paraId="340430EE" w14:textId="77777777" w:rsidTr="00AC5A8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50" w:type="pct"/>
          </w:tcPr>
          <w:p w14:paraId="60A2FC30" w14:textId="77777777" w:rsidR="00FA71B9" w:rsidRPr="00FA71B9" w:rsidRDefault="00FA71B9" w:rsidP="00FA71B9">
            <w:pPr>
              <w:jc w:val="both"/>
              <w:rPr>
                <w:rFonts w:ascii="Garamond" w:hAnsi="Garamond"/>
                <w:lang w:val="en-US"/>
              </w:rPr>
            </w:pPr>
          </w:p>
        </w:tc>
        <w:tc>
          <w:tcPr>
            <w:tcW w:w="487" w:type="pct"/>
          </w:tcPr>
          <w:p w14:paraId="67B1A07E"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53" w:type="pct"/>
          </w:tcPr>
          <w:p w14:paraId="2466E08F"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610" w:type="pct"/>
          </w:tcPr>
          <w:p w14:paraId="19C19F2D"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61B03935" w14:textId="77777777" w:rsidTr="00AC5A8E">
        <w:trPr>
          <w:trHeight w:hRule="exact" w:val="135"/>
        </w:trPr>
        <w:tc>
          <w:tcPr>
            <w:cnfStyle w:val="001000000000" w:firstRow="0" w:lastRow="0" w:firstColumn="1" w:lastColumn="0" w:oddVBand="0" w:evenVBand="0" w:oddHBand="0" w:evenHBand="0" w:firstRowFirstColumn="0" w:firstRowLastColumn="0" w:lastRowFirstColumn="0" w:lastRowLastColumn="0"/>
            <w:tcW w:w="3050" w:type="pct"/>
          </w:tcPr>
          <w:p w14:paraId="1FD5DB0D" w14:textId="77777777" w:rsidR="00FA71B9" w:rsidRPr="00FA71B9" w:rsidRDefault="00FA71B9" w:rsidP="00FA71B9">
            <w:pPr>
              <w:jc w:val="both"/>
              <w:rPr>
                <w:rFonts w:ascii="Garamond" w:hAnsi="Garamond"/>
                <w:lang w:val="en-US"/>
              </w:rPr>
            </w:pPr>
          </w:p>
        </w:tc>
        <w:tc>
          <w:tcPr>
            <w:tcW w:w="487" w:type="pct"/>
          </w:tcPr>
          <w:p w14:paraId="6A414B3A"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53" w:type="pct"/>
          </w:tcPr>
          <w:p w14:paraId="65EFD12D"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610" w:type="pct"/>
          </w:tcPr>
          <w:p w14:paraId="3C3894C6"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6C5B2A0F" w14:textId="77777777" w:rsidTr="00AC5A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0" w:type="pct"/>
            <w:hideMark/>
          </w:tcPr>
          <w:p w14:paraId="408F98D2" w14:textId="77777777" w:rsidR="00FA71B9" w:rsidRPr="00FA71B9" w:rsidRDefault="00FA71B9" w:rsidP="00FA71B9">
            <w:pPr>
              <w:jc w:val="both"/>
              <w:rPr>
                <w:rFonts w:ascii="Garamond" w:hAnsi="Garamond"/>
                <w:lang w:val="en-US"/>
              </w:rPr>
            </w:pPr>
            <w:r w:rsidRPr="00FA71B9">
              <w:rPr>
                <w:rFonts w:ascii="Garamond" w:hAnsi="Garamond"/>
                <w:lang w:val="en-US"/>
              </w:rPr>
              <w:t> LNER does not Granger-cause LNY</w:t>
            </w:r>
          </w:p>
        </w:tc>
        <w:tc>
          <w:tcPr>
            <w:tcW w:w="487" w:type="pct"/>
            <w:hideMark/>
          </w:tcPr>
          <w:p w14:paraId="5FE67FB6" w14:textId="12FB038D"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23</w:t>
            </w:r>
          </w:p>
        </w:tc>
        <w:tc>
          <w:tcPr>
            <w:tcW w:w="853" w:type="pct"/>
            <w:hideMark/>
          </w:tcPr>
          <w:p w14:paraId="28BE57A3" w14:textId="097F5BD7"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2.14538</w:t>
            </w:r>
          </w:p>
        </w:tc>
        <w:tc>
          <w:tcPr>
            <w:tcW w:w="610" w:type="pct"/>
            <w:hideMark/>
          </w:tcPr>
          <w:p w14:paraId="2934DEFC" w14:textId="77777777"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0.1585</w:t>
            </w:r>
          </w:p>
        </w:tc>
      </w:tr>
      <w:tr w:rsidR="00FA71B9" w:rsidRPr="00FA71B9" w14:paraId="7476DB2F" w14:textId="77777777" w:rsidTr="00AC5A8E">
        <w:trPr>
          <w:trHeight w:val="225"/>
        </w:trPr>
        <w:tc>
          <w:tcPr>
            <w:cnfStyle w:val="001000000000" w:firstRow="0" w:lastRow="0" w:firstColumn="1" w:lastColumn="0" w:oddVBand="0" w:evenVBand="0" w:oddHBand="0" w:evenHBand="0" w:firstRowFirstColumn="0" w:firstRowLastColumn="0" w:lastRowFirstColumn="0" w:lastRowLastColumn="0"/>
            <w:tcW w:w="3537" w:type="pct"/>
            <w:gridSpan w:val="2"/>
            <w:hideMark/>
          </w:tcPr>
          <w:p w14:paraId="00696A5A" w14:textId="77777777" w:rsidR="00FA71B9" w:rsidRPr="00FA71B9" w:rsidRDefault="00FA71B9" w:rsidP="00FA71B9">
            <w:pPr>
              <w:jc w:val="both"/>
              <w:rPr>
                <w:rFonts w:ascii="Garamond" w:hAnsi="Garamond"/>
                <w:lang w:val="en-US"/>
              </w:rPr>
            </w:pPr>
            <w:r w:rsidRPr="00FA71B9">
              <w:rPr>
                <w:rFonts w:ascii="Garamond" w:hAnsi="Garamond"/>
                <w:lang w:val="en-US"/>
              </w:rPr>
              <w:t> LNY does not Granger-cause LNER</w:t>
            </w:r>
          </w:p>
        </w:tc>
        <w:tc>
          <w:tcPr>
            <w:tcW w:w="853" w:type="pct"/>
            <w:hideMark/>
          </w:tcPr>
          <w:p w14:paraId="6721BD8F" w14:textId="75F30FEF"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4.26026</w:t>
            </w:r>
          </w:p>
        </w:tc>
        <w:tc>
          <w:tcPr>
            <w:tcW w:w="610" w:type="pct"/>
            <w:hideMark/>
          </w:tcPr>
          <w:p w14:paraId="14720001" w14:textId="77777777"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0.0522</w:t>
            </w:r>
          </w:p>
        </w:tc>
      </w:tr>
      <w:tr w:rsidR="00FA71B9" w:rsidRPr="00FA71B9" w14:paraId="35B044D4" w14:textId="77777777" w:rsidTr="00AC5A8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50" w:type="pct"/>
          </w:tcPr>
          <w:p w14:paraId="0EC39C74" w14:textId="77777777" w:rsidR="00FA71B9" w:rsidRPr="00FA71B9" w:rsidRDefault="00FA71B9" w:rsidP="00FA71B9">
            <w:pPr>
              <w:jc w:val="both"/>
              <w:rPr>
                <w:rFonts w:ascii="Garamond" w:hAnsi="Garamond"/>
                <w:lang w:val="en-US"/>
              </w:rPr>
            </w:pPr>
          </w:p>
        </w:tc>
        <w:tc>
          <w:tcPr>
            <w:tcW w:w="487" w:type="pct"/>
          </w:tcPr>
          <w:p w14:paraId="0155C3B8"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53" w:type="pct"/>
          </w:tcPr>
          <w:p w14:paraId="52421873"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610" w:type="pct"/>
          </w:tcPr>
          <w:p w14:paraId="4CB0CCDE"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018BF7D2" w14:textId="77777777" w:rsidTr="00AC5A8E">
        <w:trPr>
          <w:trHeight w:hRule="exact" w:val="135"/>
        </w:trPr>
        <w:tc>
          <w:tcPr>
            <w:cnfStyle w:val="001000000000" w:firstRow="0" w:lastRow="0" w:firstColumn="1" w:lastColumn="0" w:oddVBand="0" w:evenVBand="0" w:oddHBand="0" w:evenHBand="0" w:firstRowFirstColumn="0" w:firstRowLastColumn="0" w:lastRowFirstColumn="0" w:lastRowLastColumn="0"/>
            <w:tcW w:w="3050" w:type="pct"/>
          </w:tcPr>
          <w:p w14:paraId="464D4D3C" w14:textId="77777777" w:rsidR="00FA71B9" w:rsidRPr="00FA71B9" w:rsidRDefault="00FA71B9" w:rsidP="00FA71B9">
            <w:pPr>
              <w:jc w:val="both"/>
              <w:rPr>
                <w:rFonts w:ascii="Garamond" w:hAnsi="Garamond"/>
                <w:lang w:val="en-US"/>
              </w:rPr>
            </w:pPr>
          </w:p>
        </w:tc>
        <w:tc>
          <w:tcPr>
            <w:tcW w:w="487" w:type="pct"/>
          </w:tcPr>
          <w:p w14:paraId="1E98D6EF"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53" w:type="pct"/>
          </w:tcPr>
          <w:p w14:paraId="687A4405"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610" w:type="pct"/>
          </w:tcPr>
          <w:p w14:paraId="359072AC"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r w:rsidR="00FA71B9" w:rsidRPr="00FA71B9" w14:paraId="36B19D44" w14:textId="77777777" w:rsidTr="00AC5A8E">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050" w:type="pct"/>
            <w:hideMark/>
          </w:tcPr>
          <w:p w14:paraId="71AEE3C4" w14:textId="77777777" w:rsidR="00FA71B9" w:rsidRPr="00FA71B9" w:rsidRDefault="00FA71B9" w:rsidP="00FA71B9">
            <w:pPr>
              <w:jc w:val="both"/>
              <w:rPr>
                <w:rFonts w:ascii="Garamond" w:hAnsi="Garamond"/>
                <w:lang w:val="en-US"/>
              </w:rPr>
            </w:pPr>
            <w:r w:rsidRPr="00FA71B9">
              <w:rPr>
                <w:rFonts w:ascii="Garamond" w:hAnsi="Garamond"/>
                <w:lang w:val="en-US"/>
              </w:rPr>
              <w:t> LNER does not Granger-cause LNME</w:t>
            </w:r>
          </w:p>
        </w:tc>
        <w:tc>
          <w:tcPr>
            <w:tcW w:w="487" w:type="pct"/>
            <w:hideMark/>
          </w:tcPr>
          <w:p w14:paraId="5D64C40C" w14:textId="42C3E93A"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23</w:t>
            </w:r>
          </w:p>
        </w:tc>
        <w:tc>
          <w:tcPr>
            <w:tcW w:w="853" w:type="pct"/>
            <w:hideMark/>
          </w:tcPr>
          <w:p w14:paraId="7DC1F0AC" w14:textId="08B732F2"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0.05972</w:t>
            </w:r>
          </w:p>
        </w:tc>
        <w:tc>
          <w:tcPr>
            <w:tcW w:w="610" w:type="pct"/>
            <w:hideMark/>
          </w:tcPr>
          <w:p w14:paraId="143B0168" w14:textId="77777777" w:rsidR="00FA71B9" w:rsidRPr="00FA71B9" w:rsidRDefault="00FA71B9" w:rsidP="00AC5A8E">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0.8094</w:t>
            </w:r>
          </w:p>
        </w:tc>
      </w:tr>
      <w:tr w:rsidR="00FA71B9" w:rsidRPr="00FA71B9" w14:paraId="3F1CA44D" w14:textId="77777777" w:rsidTr="00AC5A8E">
        <w:trPr>
          <w:trHeight w:val="225"/>
        </w:trPr>
        <w:tc>
          <w:tcPr>
            <w:cnfStyle w:val="001000000000" w:firstRow="0" w:lastRow="0" w:firstColumn="1" w:lastColumn="0" w:oddVBand="0" w:evenVBand="0" w:oddHBand="0" w:evenHBand="0" w:firstRowFirstColumn="0" w:firstRowLastColumn="0" w:lastRowFirstColumn="0" w:lastRowLastColumn="0"/>
            <w:tcW w:w="3537" w:type="pct"/>
            <w:gridSpan w:val="2"/>
            <w:hideMark/>
          </w:tcPr>
          <w:p w14:paraId="56EB132B" w14:textId="77777777" w:rsidR="00FA71B9" w:rsidRPr="00FA71B9" w:rsidRDefault="00FA71B9" w:rsidP="00FA71B9">
            <w:pPr>
              <w:jc w:val="both"/>
              <w:rPr>
                <w:rFonts w:ascii="Garamond" w:hAnsi="Garamond"/>
                <w:lang w:val="en-US"/>
              </w:rPr>
            </w:pPr>
            <w:r w:rsidRPr="00FA71B9">
              <w:rPr>
                <w:rFonts w:ascii="Garamond" w:hAnsi="Garamond"/>
                <w:lang w:val="en-US"/>
              </w:rPr>
              <w:t> LNME does not Granger-cause LNER</w:t>
            </w:r>
          </w:p>
        </w:tc>
        <w:tc>
          <w:tcPr>
            <w:tcW w:w="853" w:type="pct"/>
            <w:hideMark/>
          </w:tcPr>
          <w:p w14:paraId="134B2DD1" w14:textId="772A2FC6"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8.24220</w:t>
            </w:r>
          </w:p>
        </w:tc>
        <w:tc>
          <w:tcPr>
            <w:tcW w:w="610" w:type="pct"/>
            <w:hideMark/>
          </w:tcPr>
          <w:p w14:paraId="4629728F" w14:textId="77777777" w:rsidR="00FA71B9" w:rsidRPr="00FA71B9" w:rsidRDefault="00FA71B9" w:rsidP="00AC5A8E">
            <w:pPr>
              <w:jc w:val="center"/>
              <w:cnfStyle w:val="000000000000" w:firstRow="0" w:lastRow="0" w:firstColumn="0" w:lastColumn="0" w:oddVBand="0" w:evenVBand="0" w:oddHBand="0" w:evenHBand="0" w:firstRowFirstColumn="0" w:firstRowLastColumn="0" w:lastRowFirstColumn="0" w:lastRowLastColumn="0"/>
              <w:rPr>
                <w:rFonts w:ascii="Garamond" w:hAnsi="Garamond"/>
                <w:b/>
                <w:bCs/>
                <w:lang w:val="en-US"/>
              </w:rPr>
            </w:pPr>
            <w:r w:rsidRPr="00FA71B9">
              <w:rPr>
                <w:rFonts w:ascii="Garamond" w:hAnsi="Garamond"/>
                <w:b/>
                <w:bCs/>
                <w:lang w:val="en-US"/>
              </w:rPr>
              <w:t>0.0094</w:t>
            </w:r>
          </w:p>
        </w:tc>
      </w:tr>
      <w:tr w:rsidR="00FA71B9" w:rsidRPr="00FA71B9" w14:paraId="16E1D9DB" w14:textId="77777777" w:rsidTr="00AC5A8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3050" w:type="pct"/>
          </w:tcPr>
          <w:p w14:paraId="48D7FB55" w14:textId="77777777" w:rsidR="00FA71B9" w:rsidRPr="00FA71B9" w:rsidRDefault="00FA71B9" w:rsidP="00FA71B9">
            <w:pPr>
              <w:jc w:val="both"/>
              <w:rPr>
                <w:rFonts w:ascii="Garamond" w:hAnsi="Garamond"/>
                <w:lang w:val="en-US"/>
              </w:rPr>
            </w:pPr>
          </w:p>
        </w:tc>
        <w:tc>
          <w:tcPr>
            <w:tcW w:w="487" w:type="pct"/>
          </w:tcPr>
          <w:p w14:paraId="20D1D229"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853" w:type="pct"/>
          </w:tcPr>
          <w:p w14:paraId="2C78200D"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c>
          <w:tcPr>
            <w:tcW w:w="610" w:type="pct"/>
          </w:tcPr>
          <w:p w14:paraId="17724C32" w14:textId="77777777" w:rsidR="00FA71B9" w:rsidRPr="00FA71B9" w:rsidRDefault="00FA71B9" w:rsidP="00FA71B9">
            <w:pPr>
              <w:jc w:val="both"/>
              <w:cnfStyle w:val="000000100000" w:firstRow="0" w:lastRow="0" w:firstColumn="0" w:lastColumn="0" w:oddVBand="0" w:evenVBand="0" w:oddHBand="1" w:evenHBand="0" w:firstRowFirstColumn="0" w:firstRowLastColumn="0" w:lastRowFirstColumn="0" w:lastRowLastColumn="0"/>
              <w:rPr>
                <w:rFonts w:ascii="Garamond" w:hAnsi="Garamond"/>
                <w:lang w:val="en-US"/>
              </w:rPr>
            </w:pPr>
          </w:p>
        </w:tc>
      </w:tr>
      <w:tr w:rsidR="00FA71B9" w:rsidRPr="00FA71B9" w14:paraId="62005FBB" w14:textId="77777777" w:rsidTr="00AC5A8E">
        <w:trPr>
          <w:trHeight w:hRule="exact" w:val="135"/>
        </w:trPr>
        <w:tc>
          <w:tcPr>
            <w:cnfStyle w:val="001000000000" w:firstRow="0" w:lastRow="0" w:firstColumn="1" w:lastColumn="0" w:oddVBand="0" w:evenVBand="0" w:oddHBand="0" w:evenHBand="0" w:firstRowFirstColumn="0" w:firstRowLastColumn="0" w:lastRowFirstColumn="0" w:lastRowLastColumn="0"/>
            <w:tcW w:w="3050" w:type="pct"/>
          </w:tcPr>
          <w:p w14:paraId="716F692B" w14:textId="77777777" w:rsidR="00FA71B9" w:rsidRPr="00FA71B9" w:rsidRDefault="00FA71B9" w:rsidP="00FA71B9">
            <w:pPr>
              <w:jc w:val="both"/>
              <w:rPr>
                <w:rFonts w:ascii="Garamond" w:hAnsi="Garamond"/>
                <w:lang w:val="en-US"/>
              </w:rPr>
            </w:pPr>
          </w:p>
        </w:tc>
        <w:tc>
          <w:tcPr>
            <w:tcW w:w="487" w:type="pct"/>
          </w:tcPr>
          <w:p w14:paraId="5A2282D1"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853" w:type="pct"/>
          </w:tcPr>
          <w:p w14:paraId="790170DA"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c>
          <w:tcPr>
            <w:tcW w:w="610" w:type="pct"/>
          </w:tcPr>
          <w:p w14:paraId="47534EBC" w14:textId="77777777" w:rsidR="00FA71B9" w:rsidRPr="00FA71B9" w:rsidRDefault="00FA71B9" w:rsidP="00FA71B9">
            <w:pPr>
              <w:jc w:val="both"/>
              <w:cnfStyle w:val="000000000000" w:firstRow="0" w:lastRow="0" w:firstColumn="0" w:lastColumn="0" w:oddVBand="0" w:evenVBand="0" w:oddHBand="0" w:evenHBand="0" w:firstRowFirstColumn="0" w:firstRowLastColumn="0" w:lastRowFirstColumn="0" w:lastRowLastColumn="0"/>
              <w:rPr>
                <w:rFonts w:ascii="Garamond" w:hAnsi="Garamond"/>
                <w:lang w:val="en-US"/>
              </w:rPr>
            </w:pPr>
          </w:p>
        </w:tc>
      </w:tr>
    </w:tbl>
    <w:p w14:paraId="09A17F4C" w14:textId="0E10F68B" w:rsidR="00FA71B9" w:rsidRDefault="00FA71B9" w:rsidP="00FA71B9">
      <w:pPr>
        <w:jc w:val="both"/>
        <w:rPr>
          <w:rFonts w:ascii="Garamond" w:hAnsi="Garamond"/>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p>
    <w:p w14:paraId="2C138811" w14:textId="66D969ED" w:rsidR="003C1CF5" w:rsidRDefault="003C1CF5" w:rsidP="009162A6">
      <w:pPr>
        <w:ind w:firstLine="360"/>
        <w:jc w:val="both"/>
        <w:rPr>
          <w:rFonts w:ascii="Garamond" w:hAnsi="Garamond"/>
        </w:rPr>
      </w:pPr>
      <w:r w:rsidRPr="003C1CF5">
        <w:rPr>
          <w:rFonts w:ascii="Garamond" w:hAnsi="Garamond"/>
        </w:rPr>
        <w:t xml:space="preserve">Table 7 presents the results of the diagnostic tests conducted to assess the overall adequacy and reliability of the estimated model. The Breusch-Godfrey LM test for serial correlation shows a probability value of 0.7790, indicating that the residuals are free from autocorrelation. The White’s test for heteroscedasticity yields a p-value of 0.6739, confirming that the residuals are homoscedastic and the variance of the error term is constant across observations. These findings suggest that the model meets the basic assumptions of the classical linear regression framework. The stability of the estimated model was further verified using the Inverse Roots of the AR Characteristic Polynomial. The results show that all characteristic roots lie within the unit circle (modulus &lt; 1), confirming that the model is dynamically stable and suitable for </w:t>
      </w:r>
      <w:r w:rsidR="00044302">
        <w:rPr>
          <w:rFonts w:ascii="Garamond" w:hAnsi="Garamond"/>
        </w:rPr>
        <w:t>long-term</w:t>
      </w:r>
      <w:r w:rsidRPr="003C1CF5">
        <w:rPr>
          <w:rFonts w:ascii="Garamond" w:hAnsi="Garamond"/>
        </w:rPr>
        <w:t xml:space="preserve"> analysis.</w:t>
      </w:r>
    </w:p>
    <w:p w14:paraId="0C9B44A6" w14:textId="3A21BF8D" w:rsidR="00FA71B9" w:rsidRPr="007B5026" w:rsidRDefault="00FA71B9" w:rsidP="007B5026">
      <w:pPr>
        <w:jc w:val="center"/>
        <w:rPr>
          <w:rFonts w:ascii="Garamond" w:hAnsi="Garamond"/>
          <w:b/>
          <w:bCs/>
        </w:rPr>
      </w:pPr>
      <w:r w:rsidRPr="007B5026">
        <w:rPr>
          <w:rFonts w:ascii="Garamond" w:hAnsi="Garamond"/>
          <w:b/>
          <w:bCs/>
        </w:rPr>
        <w:t>Table 7. Diagnostic test results</w:t>
      </w:r>
    </w:p>
    <w:tbl>
      <w:tblPr>
        <w:tblStyle w:val="PlainTable1"/>
        <w:tblW w:w="0" w:type="auto"/>
        <w:tblLook w:val="04A0" w:firstRow="1" w:lastRow="0" w:firstColumn="1" w:lastColumn="0" w:noHBand="0" w:noVBand="1"/>
      </w:tblPr>
      <w:tblGrid>
        <w:gridCol w:w="2265"/>
        <w:gridCol w:w="2265"/>
        <w:gridCol w:w="2265"/>
        <w:gridCol w:w="2265"/>
      </w:tblGrid>
      <w:tr w:rsidR="00FA71B9" w:rsidRPr="00FA71B9" w14:paraId="357691D9" w14:textId="77777777" w:rsidTr="007B5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00A5416" w14:textId="77777777" w:rsidR="00FA71B9" w:rsidRPr="00FA71B9" w:rsidRDefault="00FA71B9" w:rsidP="007B5026">
            <w:pPr>
              <w:jc w:val="center"/>
              <w:rPr>
                <w:rFonts w:ascii="Garamond" w:hAnsi="Garamond"/>
                <w:lang w:val="en-US"/>
              </w:rPr>
            </w:pPr>
            <w:r w:rsidRPr="00FA71B9">
              <w:rPr>
                <w:rFonts w:ascii="Garamond" w:hAnsi="Garamond"/>
                <w:lang w:val="en-US"/>
              </w:rPr>
              <w:t>Diagnostic test</w:t>
            </w:r>
          </w:p>
        </w:tc>
        <w:tc>
          <w:tcPr>
            <w:tcW w:w="2265" w:type="dxa"/>
            <w:hideMark/>
          </w:tcPr>
          <w:p w14:paraId="4748911B" w14:textId="77777777" w:rsidR="00FA71B9" w:rsidRPr="00FA71B9" w:rsidRDefault="00FA71B9" w:rsidP="007B50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Method</w:t>
            </w:r>
          </w:p>
        </w:tc>
        <w:tc>
          <w:tcPr>
            <w:tcW w:w="2265" w:type="dxa"/>
            <w:hideMark/>
          </w:tcPr>
          <w:p w14:paraId="45F38CBA" w14:textId="77777777" w:rsidR="00FA71B9" w:rsidRPr="00FA71B9" w:rsidRDefault="00FA71B9" w:rsidP="007B50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p-value</w:t>
            </w:r>
          </w:p>
        </w:tc>
        <w:tc>
          <w:tcPr>
            <w:tcW w:w="2265" w:type="dxa"/>
            <w:hideMark/>
          </w:tcPr>
          <w:p w14:paraId="2B6AA632" w14:textId="77777777" w:rsidR="00FA71B9" w:rsidRPr="00FA71B9" w:rsidRDefault="00FA71B9" w:rsidP="007B5026">
            <w:pPr>
              <w:jc w:val="center"/>
              <w:cnfStyle w:val="100000000000" w:firstRow="1"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Decision</w:t>
            </w:r>
          </w:p>
        </w:tc>
      </w:tr>
      <w:tr w:rsidR="00FA71B9" w:rsidRPr="00FA71B9" w14:paraId="00561240" w14:textId="77777777" w:rsidTr="007B5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0C608D3" w14:textId="77777777" w:rsidR="00FA71B9" w:rsidRPr="00FA71B9" w:rsidRDefault="00FA71B9" w:rsidP="00FA71B9">
            <w:pPr>
              <w:jc w:val="both"/>
              <w:rPr>
                <w:rFonts w:ascii="Garamond" w:hAnsi="Garamond"/>
                <w:lang w:val="en-US"/>
              </w:rPr>
            </w:pPr>
            <w:r w:rsidRPr="00FA71B9">
              <w:rPr>
                <w:rFonts w:ascii="Garamond" w:hAnsi="Garamond"/>
                <w:lang w:val="en-US"/>
              </w:rPr>
              <w:t>Serial Correlation</w:t>
            </w:r>
          </w:p>
        </w:tc>
        <w:tc>
          <w:tcPr>
            <w:tcW w:w="2265" w:type="dxa"/>
            <w:hideMark/>
          </w:tcPr>
          <w:p w14:paraId="684D5C12"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Breusch-Godfrey LM</w:t>
            </w:r>
          </w:p>
        </w:tc>
        <w:tc>
          <w:tcPr>
            <w:tcW w:w="2265" w:type="dxa"/>
            <w:hideMark/>
          </w:tcPr>
          <w:p w14:paraId="7AD1FB12"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0.7790</w:t>
            </w:r>
          </w:p>
        </w:tc>
        <w:tc>
          <w:tcPr>
            <w:tcW w:w="2265" w:type="dxa"/>
            <w:hideMark/>
          </w:tcPr>
          <w:p w14:paraId="6499EE41"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No autocorrelation</w:t>
            </w:r>
          </w:p>
        </w:tc>
      </w:tr>
      <w:tr w:rsidR="00FA71B9" w:rsidRPr="00FA71B9" w14:paraId="332BAFB9" w14:textId="77777777" w:rsidTr="007B5026">
        <w:tc>
          <w:tcPr>
            <w:cnfStyle w:val="001000000000" w:firstRow="0" w:lastRow="0" w:firstColumn="1" w:lastColumn="0" w:oddVBand="0" w:evenVBand="0" w:oddHBand="0" w:evenHBand="0" w:firstRowFirstColumn="0" w:firstRowLastColumn="0" w:lastRowFirstColumn="0" w:lastRowLastColumn="0"/>
            <w:tcW w:w="2265" w:type="dxa"/>
            <w:hideMark/>
          </w:tcPr>
          <w:p w14:paraId="0106E48A" w14:textId="77777777" w:rsidR="00FA71B9" w:rsidRPr="00FA71B9" w:rsidRDefault="00FA71B9" w:rsidP="00FA71B9">
            <w:pPr>
              <w:jc w:val="both"/>
              <w:rPr>
                <w:rFonts w:ascii="Garamond" w:hAnsi="Garamond"/>
                <w:lang w:val="en-US"/>
              </w:rPr>
            </w:pPr>
            <w:r w:rsidRPr="00FA71B9">
              <w:rPr>
                <w:rFonts w:ascii="Garamond" w:hAnsi="Garamond"/>
                <w:lang w:val="en-US"/>
              </w:rPr>
              <w:t>Heteroscedasticity</w:t>
            </w:r>
          </w:p>
        </w:tc>
        <w:tc>
          <w:tcPr>
            <w:tcW w:w="2265" w:type="dxa"/>
            <w:hideMark/>
          </w:tcPr>
          <w:p w14:paraId="007A39F6" w14:textId="77777777" w:rsidR="00FA71B9" w:rsidRPr="00FA71B9" w:rsidRDefault="00FA71B9" w:rsidP="007B5026">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White’s Test</w:t>
            </w:r>
          </w:p>
        </w:tc>
        <w:tc>
          <w:tcPr>
            <w:tcW w:w="2265" w:type="dxa"/>
            <w:hideMark/>
          </w:tcPr>
          <w:p w14:paraId="6C0E3A37" w14:textId="77777777" w:rsidR="00FA71B9" w:rsidRPr="00FA71B9" w:rsidRDefault="00FA71B9" w:rsidP="007B5026">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r w:rsidRPr="00FA71B9">
              <w:rPr>
                <w:rFonts w:ascii="Garamond" w:hAnsi="Garamond"/>
                <w:lang w:val="en-US"/>
              </w:rPr>
              <w:t>0.6739</w:t>
            </w:r>
          </w:p>
        </w:tc>
        <w:tc>
          <w:tcPr>
            <w:tcW w:w="2265" w:type="dxa"/>
            <w:hideMark/>
          </w:tcPr>
          <w:p w14:paraId="78DC36B5" w14:textId="77777777" w:rsidR="00FA71B9" w:rsidRPr="00FA71B9" w:rsidRDefault="00FA71B9" w:rsidP="007B5026">
            <w:pPr>
              <w:jc w:val="center"/>
              <w:cnfStyle w:val="000000000000" w:firstRow="0" w:lastRow="0" w:firstColumn="0" w:lastColumn="0" w:oddVBand="0" w:evenVBand="0" w:oddHBand="0" w:evenHBand="0" w:firstRowFirstColumn="0" w:firstRowLastColumn="0" w:lastRowFirstColumn="0" w:lastRowLastColumn="0"/>
              <w:rPr>
                <w:rFonts w:ascii="Garamond" w:hAnsi="Garamond"/>
                <w:lang w:val="en-US"/>
              </w:rPr>
            </w:pPr>
            <w:proofErr w:type="spellStart"/>
            <w:r w:rsidRPr="00FA71B9">
              <w:rPr>
                <w:rFonts w:ascii="Garamond" w:hAnsi="Garamond"/>
                <w:lang w:val="en-US"/>
              </w:rPr>
              <w:t>Homoskedastic</w:t>
            </w:r>
            <w:proofErr w:type="spellEnd"/>
          </w:p>
        </w:tc>
      </w:tr>
      <w:tr w:rsidR="00FA71B9" w:rsidRPr="00FA71B9" w14:paraId="789ECBD5" w14:textId="77777777" w:rsidTr="007B5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hideMark/>
          </w:tcPr>
          <w:p w14:paraId="2E010A53" w14:textId="77777777" w:rsidR="00FA71B9" w:rsidRPr="00FA71B9" w:rsidRDefault="00FA71B9" w:rsidP="00FA71B9">
            <w:pPr>
              <w:jc w:val="both"/>
              <w:rPr>
                <w:rFonts w:ascii="Garamond" w:hAnsi="Garamond"/>
                <w:lang w:val="en-US"/>
              </w:rPr>
            </w:pPr>
            <w:r w:rsidRPr="00FA71B9">
              <w:rPr>
                <w:rFonts w:ascii="Garamond" w:hAnsi="Garamond"/>
                <w:lang w:val="en-US"/>
              </w:rPr>
              <w:t>Stability</w:t>
            </w:r>
          </w:p>
        </w:tc>
        <w:tc>
          <w:tcPr>
            <w:tcW w:w="2265" w:type="dxa"/>
            <w:hideMark/>
          </w:tcPr>
          <w:p w14:paraId="78F5DBE1"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Inverse Roots AR</w:t>
            </w:r>
          </w:p>
        </w:tc>
        <w:tc>
          <w:tcPr>
            <w:tcW w:w="2265" w:type="dxa"/>
            <w:hideMark/>
          </w:tcPr>
          <w:p w14:paraId="0B013CC1"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w:t>
            </w:r>
          </w:p>
        </w:tc>
        <w:tc>
          <w:tcPr>
            <w:tcW w:w="2265" w:type="dxa"/>
            <w:hideMark/>
          </w:tcPr>
          <w:p w14:paraId="49846EE3" w14:textId="77777777" w:rsidR="00FA71B9" w:rsidRPr="00FA71B9" w:rsidRDefault="00FA71B9" w:rsidP="007B5026">
            <w:pPr>
              <w:jc w:val="center"/>
              <w:cnfStyle w:val="000000100000" w:firstRow="0" w:lastRow="0" w:firstColumn="0" w:lastColumn="0" w:oddVBand="0" w:evenVBand="0" w:oddHBand="1" w:evenHBand="0" w:firstRowFirstColumn="0" w:firstRowLastColumn="0" w:lastRowFirstColumn="0" w:lastRowLastColumn="0"/>
              <w:rPr>
                <w:rFonts w:ascii="Garamond" w:hAnsi="Garamond"/>
                <w:lang w:val="en-US"/>
              </w:rPr>
            </w:pPr>
            <w:r w:rsidRPr="00FA71B9">
              <w:rPr>
                <w:rFonts w:ascii="Garamond" w:hAnsi="Garamond"/>
                <w:lang w:val="en-US"/>
              </w:rPr>
              <w:t>Stable (roots &lt; 1)</w:t>
            </w:r>
          </w:p>
        </w:tc>
      </w:tr>
    </w:tbl>
    <w:p w14:paraId="1225723C" w14:textId="3724C163" w:rsidR="00FA71B9" w:rsidRDefault="00FA71B9" w:rsidP="00FA71B9">
      <w:pPr>
        <w:jc w:val="both"/>
        <w:rPr>
          <w:rFonts w:ascii="Garamond" w:hAnsi="Garamond"/>
          <w:i/>
          <w:iCs/>
        </w:rPr>
      </w:pPr>
      <w:r w:rsidRPr="00492D4C">
        <w:rPr>
          <w:rFonts w:ascii="Garamond" w:hAnsi="Garamond"/>
          <w:b/>
          <w:bCs/>
          <w:i/>
          <w:iCs/>
        </w:rPr>
        <w:t>Source:</w:t>
      </w:r>
      <w:r w:rsidRPr="00492D4C">
        <w:rPr>
          <w:rFonts w:ascii="Garamond" w:hAnsi="Garamond"/>
          <w:i/>
          <w:iCs/>
        </w:rPr>
        <w:t xml:space="preserve"> Processed data (202</w:t>
      </w:r>
      <w:r>
        <w:rPr>
          <w:rFonts w:ascii="Garamond" w:hAnsi="Garamond"/>
          <w:i/>
          <w:iCs/>
        </w:rPr>
        <w:t>5</w:t>
      </w:r>
      <w:r w:rsidRPr="00492D4C">
        <w:rPr>
          <w:rFonts w:ascii="Garamond" w:hAnsi="Garamond"/>
          <w:i/>
          <w:iCs/>
        </w:rPr>
        <w:t>)</w:t>
      </w:r>
    </w:p>
    <w:p w14:paraId="78D16731" w14:textId="270C5E0E" w:rsidR="00FA71B9" w:rsidRPr="00FA71B9" w:rsidRDefault="00FA71B9" w:rsidP="00FA71B9">
      <w:pPr>
        <w:jc w:val="center"/>
        <w:rPr>
          <w:rFonts w:ascii="Garamond" w:hAnsi="Garamond"/>
        </w:rPr>
      </w:pPr>
      <w:r w:rsidRPr="00097BBC">
        <w:rPr>
          <w:rFonts w:ascii="Garamond" w:eastAsiaTheme="minorHAnsi" w:hAnsi="Garamond"/>
          <w:sz w:val="22"/>
          <w:szCs w:val="22"/>
          <w:lang w:val="en-US" w:eastAsia="en-US"/>
        </w:rPr>
        <w:object w:dxaOrig="4770" w:dyaOrig="5030" w14:anchorId="26F1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7pt;height:251.45pt" o:ole="">
            <v:imagedata r:id="rId10" o:title=""/>
          </v:shape>
          <o:OLEObject Type="Embed" ProgID="EViews.Workfile.2" ShapeID="_x0000_i1025" DrawAspect="Content" ObjectID="_1824635790" r:id="rId11"/>
        </w:object>
      </w:r>
    </w:p>
    <w:p w14:paraId="28594FD3" w14:textId="055829D9" w:rsidR="004B0D60" w:rsidRDefault="004B0D60" w:rsidP="004B0D60">
      <w:pPr>
        <w:jc w:val="both"/>
        <w:rPr>
          <w:rFonts w:ascii="Garamond" w:hAnsi="Garamond"/>
        </w:rPr>
      </w:pPr>
      <w:r>
        <w:rPr>
          <w:rFonts w:ascii="Garamond" w:hAnsi="Garamond"/>
          <w:b/>
          <w:bCs/>
        </w:rPr>
        <w:t>Discussions</w:t>
      </w:r>
    </w:p>
    <w:p w14:paraId="6AA3DF13" w14:textId="4610889B" w:rsidR="004B0D60" w:rsidRPr="004B0D60" w:rsidRDefault="004B0D60" w:rsidP="004B0D60">
      <w:pPr>
        <w:ind w:firstLine="360"/>
        <w:jc w:val="both"/>
        <w:rPr>
          <w:rFonts w:ascii="Garamond" w:hAnsi="Garamond"/>
        </w:rPr>
      </w:pPr>
      <w:r w:rsidRPr="004B0D60">
        <w:rPr>
          <w:rFonts w:ascii="Garamond" w:hAnsi="Garamond"/>
        </w:rPr>
        <w:lastRenderedPageBreak/>
        <w:t xml:space="preserve">The findings of this study substantiate the presence of a stable </w:t>
      </w:r>
      <w:r w:rsidR="00044302">
        <w:rPr>
          <w:rFonts w:ascii="Garamond" w:hAnsi="Garamond"/>
        </w:rPr>
        <w:t>long-term</w:t>
      </w:r>
      <w:r w:rsidRPr="004B0D60">
        <w:rPr>
          <w:rFonts w:ascii="Garamond" w:hAnsi="Garamond"/>
        </w:rPr>
        <w:t xml:space="preserve"> relationship among military expenditure, economic growth, and the exchange rate in Indonesia during the period 2000–2023. Granger causality tests indicate a unidirectional causal flow from economic growth to military expenditure and from military expenditure to the exchange rate. These results indicate that </w:t>
      </w:r>
      <w:proofErr w:type="spellStart"/>
      <w:r w:rsidRPr="004B0D60">
        <w:rPr>
          <w:rFonts w:ascii="Garamond" w:hAnsi="Garamond"/>
        </w:rPr>
        <w:t>defense</w:t>
      </w:r>
      <w:proofErr w:type="spellEnd"/>
      <w:r w:rsidRPr="004B0D60">
        <w:rPr>
          <w:rFonts w:ascii="Garamond" w:hAnsi="Garamond"/>
        </w:rPr>
        <w:t xml:space="preserve"> spending in Indonesia is largely responsive to fiscal capacity and can influence the dynamics of the rupiah exchange rate, but it has not yet functioned as a driver of economic growth. This pattern is consistent with evidence from middle-income countries showing that the expansion of military expenditure is determined more by national fiscal capacity than by growth-stimulating objectives </w:t>
      </w:r>
      <w:r w:rsidR="003F23D6">
        <w:rPr>
          <w:rFonts w:ascii="Garamond" w:hAnsi="Garamond"/>
        </w:rPr>
        <w:fldChar w:fldCharType="begin" w:fldLock="1"/>
      </w:r>
      <w:r w:rsidR="003F23D6">
        <w:rPr>
          <w:rFonts w:ascii="Garamond" w:hAnsi="Garamond"/>
        </w:rPr>
        <w:instrText>ADDIN CSL_CITATION {"citationItems":[{"id":"ITEM-1","itemData":{"DOI":"10.15294/jejak.v14i1.26062","abstract":"Security is a form of guarantee that needs to be given by the state to its citizens. This fulfillment can be realized through the provision of national defense for all citizens. Nevertheless, military expenditure as a source of providing national defense needs attention. This is caused by its unproductive nature when compared to other sectors such as agriculture, banking, industry, and others. This study aims to analyze the effect of Military Expenditures on the level of Economic Growth. Furthermore, this study also analyzes the effect of interactions between Military Expenditure with other variables such as Population, Foreign Direct Investment (FDI), Political Stability, and Rule of Law, to see their indirect effects on Economic Growth. This study uses secondary data and covering 27 selected Lower-Middle Income Countries from 2002-2018. Furthermore, this study uses dynamic panel data analysis with the System Generalized Method of Moments (GMM) method. The Military Expenditure in this study does not significantly influence Economic Growth. However, it was found that Military Expenditure had a positive and significant influence on Economic Growth when interacting with other variables.","author":[{"dropping-particle":"","family":"Nugroho","given":"Dirga Ardian","non-dropping-particle":"","parse-names":false,"suffix":""},{"dropping-particle":"","family":"Purwanti","given":"Evi Yulia","non-dropping-particle":"","parse-names":false,"suffix":""}],"container-title":"Jejak","id":"ITEM-1","issue":"1","issued":{"date-parts":[["2021"]]},"page":"9-20","title":"Impact of Military Expenditure on Economic Growth Encouraging or Constraining?","type":"article-journal","volume":"14"},"uris":["http://www.mendeley.com/documents/?uuid=62f369bd-fcc9-4e72-9919-9d65cfe8cbce"]},{"id":"ITEM-2","itemData":{"abstract":"This study aims to analyze the causal relationship between military spending and economic growth in ASEAN-5 countries. This study uses panel data from 1980-2022 from World Bank and Stockholm International Peace Research Institute (SIPRI) publication data. The data analysis used is descriptive analysis and inductive analysis. The analysis method used is the Vector Autoregression (VAR) model which is continued with the Panel Vector Error Correction Model (PVECM) model and the Panel Granger Causality Test. In addition, the cointegration test used in this study was carried out using the Johansen Cointegration Test. The results of this study indicate that: There is no causal relationship between military spending and economic growth in ASEAN-5 countries. Military spending does not significantly affect economic growth in ASEAN-5 countries in 1980-2022. However, there is a unidirectional relationship between economic growth and military spending. Economic growth significantly affects military spending. There is a long-term and short-term relationship between military spending and economic growth that has a negative effect.","author":[{"dropping-particle":"","family":"Ibon","given":"Naifah Dwina","non-dropping-particle":"","parse-names":false,"suffix":""},{"dropping-particle":"","family":"Irfan","given":"Muhammad","non-dropping-particle":"","parse-names":false,"suffix":""}],"container-title":"Media Riset Ekonomi Pembangunan (MedREP)","id":"ITEM-2","issue":"4","issued":{"date-parts":[["2024"]]},"page":"705-713","title":"Causality Analysis of Military Expenditure and Economic Growth in ASEAN-5 Countries","type":"article-journal","volume":"1"},"uris":["http://www.mendeley.com/documents/?uuid=4d083da6-0daa-4296-b3b8-45655f770110"]},{"id":"ITEM-3","itemData":{"DOI":"10.21608/jsec.2021.165846","abstract":"This study aimed to analyze the causality relationship between military expenditure and economic growth in Egypt during the period from 1980 to 2019. The study used the Autoregressive Distributed Lag ARDL (bounds test) approach to test the long- run relationships between the study’s economic variables (GDP, military expenditure, and fixed capital Formation). also the study used Granger causality and Toda-Yamamoto (TY) methodology to conduct the causality test. The study’s main findings are that there is a unidirectional causality relationship between these variables, where: military expenditure does not cause GDP, however GDP causes military expenditure. And military expenditure does not cause fixed capital; however, fixed capital causes military expenditure. And fixed capital causes GDP, however GDP does not cause fixed capital. Having regard to this study’s findings, the study recommend that the Egyptian Government should ensure that the country’s economic resources are allocated optimally to all sectors to achieve both the maximum amount of economic growth and the efficient utilization of the available resources.","author":[{"dropping-particle":"","family":"Ali","given":"Abdelaziz Abdelmegid","non-dropping-particle":"","parse-names":false,"suffix":""}],"container-title":"Scientific Journal for Economic&amp; Commerce","id":"ITEM-3","issue":"3","issued":{"date-parts":[["2021"]]},"page":"701-734","title":"The Causal Relationship between Military Expenditure and Economic Growth in Egypt during the period from 1980 to 2019","type":"article-journal","volume":"51"},"uris":["http://www.mendeley.com/documents/?uuid=51a98403-1ecf-484b-8a77-9578b22e4524"]}],"mendeley":{"formattedCitation":"(Ali, 2021; Ibon &amp; Irfan, 2024; Nugroho &amp; Purwanti, 2021)","plainTextFormattedCitation":"(Ali, 2021; Ibon &amp; Irfan, 2024; Nugroho &amp; Purwanti, 2021)","previouslyFormattedCitation":"(Ali, 2021; Ibon &amp; Irfan, 2024; Nugroho &amp; Purwanti, 2021)"},"properties":{"noteIndex":0},"schema":"https://github.com/citation-style-language/schema/raw/master/csl-citation.json"}</w:instrText>
      </w:r>
      <w:r w:rsidR="003F23D6">
        <w:rPr>
          <w:rFonts w:ascii="Garamond" w:hAnsi="Garamond"/>
        </w:rPr>
        <w:fldChar w:fldCharType="separate"/>
      </w:r>
      <w:r w:rsidR="003F23D6" w:rsidRPr="003F23D6">
        <w:rPr>
          <w:rFonts w:ascii="Garamond" w:hAnsi="Garamond"/>
          <w:noProof/>
        </w:rPr>
        <w:t>(Ali, 2021; Ibon &amp; Irfan, 2024; Nugroho &amp; Purwanti, 2021)</w:t>
      </w:r>
      <w:r w:rsidR="003F23D6">
        <w:rPr>
          <w:rFonts w:ascii="Garamond" w:hAnsi="Garamond"/>
        </w:rPr>
        <w:fldChar w:fldCharType="end"/>
      </w:r>
      <w:r w:rsidRPr="004B0D60">
        <w:rPr>
          <w:rFonts w:ascii="Garamond" w:hAnsi="Garamond"/>
        </w:rPr>
        <w:t>. Moreover, military budget allocations can reduce fiscal space for productive sectors such as education and health</w:t>
      </w:r>
      <w:r w:rsidR="003F23D6">
        <w:rPr>
          <w:rFonts w:ascii="Garamond" w:hAnsi="Garamond"/>
        </w:rPr>
        <w:t xml:space="preserve"> </w:t>
      </w:r>
      <w:r w:rsidR="003F23D6">
        <w:rPr>
          <w:rFonts w:ascii="Garamond" w:hAnsi="Garamond"/>
        </w:rPr>
        <w:fldChar w:fldCharType="begin" w:fldLock="1"/>
      </w:r>
      <w:r w:rsidR="003F23D6">
        <w:rPr>
          <w:rFonts w:ascii="Garamond" w:hAnsi="Garamond"/>
        </w:rPr>
        <w:instrText>ADDIN CSL_CITATION {"citationItems":[{"id":"ITEM-1","itemData":{"DOI":"10.1016/j.heliyon.2020.e05853","ISSN":"24058440","abstract":"Military spending; Economic growth; Non-OECD countries; Balanced panel data.","author":[{"dropping-particle":"","family":"Azam","given":"Muhammad","non-dropping-particle":"","parse-names":false,"suffix":""}],"container-title":"Heliyon","id":"ITEM-1","issue":"12","issued":{"date-parts":[["2020"]]},"publisher":"Elsevier Ltd","title":"Does military spending stifle economic growth? The empirical evidence from non-OECD countries","type":"article-journal","volume":"6"},"uris":["http://www.mendeley.com/documents/?uuid=a0f58bac-4b32-4ea3-9586-5bae6da85893"]},{"id":"ITEM-2","itemData":{"DOI":"10.1080/10242694.2012.710813","ISSN":"10242694","abstract":"The effect of military expenditure on economic growth in developing countries has been investigated by many empirical literatures. However, there is little consensus of that effect and the diversity seems to come from the use of different models and different estimators. This article applies the Augmented Solow Growth Model to examine the influence of military expenditure on economic growth for 35 developing countries over the period of 1975-2009. By using the system Generalized Method of Moments (GMM) estimators, empirical results indicate that defence has a negative and significant effect on economic growth in the sample countries. © 2013 Copyright Taylor and Francis Group, LLC.","author":[{"dropping-particle":"","family":"Hou","given":"Na","non-dropping-particle":"","parse-names":false,"suffix":""},{"dropping-particle":"","family":"Chen","given":"Bo","non-dropping-particle":"","parse-names":false,"suffix":""}],"container-title":"Defence and Peace Economics","id":"ITEM-2","issue":"3","issued":{"date-parts":[["2013"]]},"page":"183-193","title":"Military expenditure and economic growth in developing countries: Evidence from system gmm estimates","type":"article-journal","volume":"24"},"uris":["http://www.mendeley.com/documents/?uuid=e2c64401-d155-413c-98f4-4b8e36cde8bd"]},{"id":"ITEM-3","itemData":{"DOI":"10.1007/s11135-019-00905-6","ISSN":"15737845","abstract":"This study investigates the relationship between military expenditure, state fragility and economic growth at regional economic communities of African countries. With a balanced panel of 34 African countries spanning 1990–2015. The variables of interest for this study include military expenditure, state fragility and economic growth. To measure economic growth, real gross domestic product per capita serves as the proxy, while state fragility is measured by the state fragility index, and military expenditure by military expenditure as a percentage share of GDP. We utilise: panel causality and cointegration test; and the generalised method of moments (GMM) estimation techniques. The causality results suggest a feedback relationship among our variables of interest and this justified the use of GMM. Our analysis suggests that the effect of military expenditure on growth is negative at Africa level with significant regional economic level differences, and this effect is influenced in the presence of state fragility. This imply that there exist complementary effects between military expenditure and state fragility on growth. A cut in military expenditure and a consideration of other means of dealing with fragility issues as an alternative to joint regional militarised intervention of regional governments of African countries is recommended.","author":[{"dropping-particle":"","family":"Saba","given":"Charles Shaaba","non-dropping-particle":"","parse-names":false,"suffix":""},{"dropping-particle":"","family":"Ngepah","given":"Nicholas","non-dropping-particle":"","parse-names":false,"suffix":""}],"container-title":"Quality and Quantity","id":"ITEM-3","issue":"6","issued":{"date-parts":[["2019"]]},"page":"2885-2915","title":"A cross-regional analysis of military expenditure, state fragility and economic growth in Africa","type":"article","volume":"53"},"uris":["http://www.mendeley.com/documents/?uuid=f0c2b1df-e9aa-4c23-9e79-fa408b1bc00d"]}],"mendeley":{"formattedCitation":"(Azam, 2020; Hou &amp; Chen, 2013; Saba &amp; Ngepah, 2019)","plainTextFormattedCitation":"(Azam, 2020; Hou &amp; Chen, 2013; Saba &amp; Ngepah, 2019)","previouslyFormattedCitation":"(Azam, 2020; Hou &amp; Chen, 2013; Saba &amp; Ngepah, 2019)"},"properties":{"noteIndex":0},"schema":"https://github.com/citation-style-language/schema/raw/master/csl-citation.json"}</w:instrText>
      </w:r>
      <w:r w:rsidR="003F23D6">
        <w:rPr>
          <w:rFonts w:ascii="Garamond" w:hAnsi="Garamond"/>
        </w:rPr>
        <w:fldChar w:fldCharType="separate"/>
      </w:r>
      <w:r w:rsidR="003F23D6" w:rsidRPr="003F23D6">
        <w:rPr>
          <w:rFonts w:ascii="Garamond" w:hAnsi="Garamond"/>
          <w:noProof/>
        </w:rPr>
        <w:t>(Azam, 2020; Hou &amp; Chen, 2013; Saba &amp; Ngepah, 2019)</w:t>
      </w:r>
      <w:r w:rsidR="003F23D6">
        <w:rPr>
          <w:rFonts w:ascii="Garamond" w:hAnsi="Garamond"/>
        </w:rPr>
        <w:fldChar w:fldCharType="end"/>
      </w:r>
      <w:r w:rsidRPr="004B0D60">
        <w:rPr>
          <w:rFonts w:ascii="Garamond" w:hAnsi="Garamond"/>
        </w:rPr>
        <w:t xml:space="preserve">. The case of India illustrates the absence of direct causality between military expenditure and economic growth. Moreover, the Indian government has strategically </w:t>
      </w:r>
      <w:proofErr w:type="spellStart"/>
      <w:r w:rsidRPr="004B0D60">
        <w:rPr>
          <w:rFonts w:ascii="Garamond" w:hAnsi="Garamond"/>
        </w:rPr>
        <w:t>channeled</w:t>
      </w:r>
      <w:proofErr w:type="spellEnd"/>
      <w:r w:rsidRPr="004B0D60">
        <w:rPr>
          <w:rFonts w:ascii="Garamond" w:hAnsi="Garamond"/>
        </w:rPr>
        <w:t xml:space="preserve"> </w:t>
      </w:r>
      <w:proofErr w:type="spellStart"/>
      <w:r w:rsidRPr="004B0D60">
        <w:rPr>
          <w:rFonts w:ascii="Garamond" w:hAnsi="Garamond"/>
        </w:rPr>
        <w:t>defense</w:t>
      </w:r>
      <w:proofErr w:type="spellEnd"/>
      <w:r w:rsidRPr="004B0D60">
        <w:rPr>
          <w:rFonts w:ascii="Garamond" w:hAnsi="Garamond"/>
        </w:rPr>
        <w:t xml:space="preserve"> expenditure to strengthen domestic industry through Foreign Direct Investment (FDI) policies combined with state-controlled marketing initiatives</w:t>
      </w:r>
      <w:r w:rsidR="003F23D6">
        <w:rPr>
          <w:rFonts w:ascii="Garamond" w:hAnsi="Garamond"/>
        </w:rPr>
        <w:t xml:space="preserve"> </w:t>
      </w:r>
      <w:r w:rsidR="003F23D6">
        <w:rPr>
          <w:rFonts w:ascii="Garamond" w:hAnsi="Garamond"/>
        </w:rPr>
        <w:fldChar w:fldCharType="begin" w:fldLock="1"/>
      </w:r>
      <w:r w:rsidR="003F23D6">
        <w:rPr>
          <w:rFonts w:ascii="Garamond" w:hAnsi="Garamond"/>
        </w:rPr>
        <w:instrText>ADDIN CSL_CITATION {"citationItems":[{"id":"ITEM-1","itemData":{"DOI":"10.1108/REPS-03-2019-0025","ISSN":"26313561","abstract":"Purpose: The relationship between military expenditure and economic growth is complex. The purpose of this paper is to examine this relationship in India. Design/methodology/approach: The design of this study is descriptive in the theoretical part, and quantitative in the applied one. The study uses time series approach, and Hendry General-to-Specific (GTS) modeling methodology, to examine and analyze the relationship between military expenditure and economic growth in India, during the period 1980-2016. Findings: The study shows the following: Absence of causal relationship between military expenditure and economic growth in India, during indicated period. The continuous regional tensions facing India represent the main factor for adopting Indian military strategy and emphasizing military capabilities. India has been able to build and develop links between civilian and military sectors. The Indian military scientific and manufacturing policies have achieved self-sufficiency in some of its military needs, a strong military industrial base and high levels of military exports. India participated with developed countries in military strategic industries. Such participation contributed to the integration of civilian and military sectors. India gave rights to private sector and foreign direct investment (FDI) for manufacturing in military industries, giving full marketing rights to the Indian government. These new policies considered a great move toward deep changes for Indian military manufacturing policy. Social implications: The findings shed light on the importance of stimulating links between civilian and military sectors, particularly in the industrial sectors and scientific activities. Originality/value: This study has a contribution to literature of military expenditures' economic effects. Theoretically, this study tries to fill the research gap regarding the impact of military expenditure in Indian case. Furthermore, to the best of the authors' knowledge, this is the first study that examines the relationship between military expenditure and economic growth in India using Hendry general-to-specific (GTS) modeling methodology and time series approach.","author":[{"dropping-particle":"","family":"Abdel-Khalek","given":"Gouda","non-dropping-particle":"","parse-names":false,"suffix":""},{"dropping-particle":"","family":"Mazloum","given":"Mohammed Gamal","non-dropping-particle":"","parse-names":false,"suffix":""},{"dropping-particle":"","family":"Zeiny","given":"Mohammed Ramadan Mohammed","non-dropping-particle":"El","parse-names":false,"suffix":""}],"container-title":"Review of Economics and Political Science","id":"ITEM-1","issue":"2","issued":{"date-parts":[["2020"]]},"page":"116-135","title":"Military expenditure and economic growth: the case of India","type":"article-journal","volume":"5"},"uris":["http://www.mendeley.com/documents/?uuid=ef80c025-e2aa-4447-8fd0-e70d87e8e546"]}],"mendeley":{"formattedCitation":"(Abdel-Khalek et al., 2020)","plainTextFormattedCitation":"(Abdel-Khalek et al., 2020)","previouslyFormattedCitation":"(Abdel-Khalek et al., 2020)"},"properties":{"noteIndex":0},"schema":"https://github.com/citation-style-language/schema/raw/master/csl-citation.json"}</w:instrText>
      </w:r>
      <w:r w:rsidR="003F23D6">
        <w:rPr>
          <w:rFonts w:ascii="Garamond" w:hAnsi="Garamond"/>
        </w:rPr>
        <w:fldChar w:fldCharType="separate"/>
      </w:r>
      <w:r w:rsidR="003F23D6" w:rsidRPr="003F23D6">
        <w:rPr>
          <w:rFonts w:ascii="Garamond" w:hAnsi="Garamond"/>
          <w:noProof/>
        </w:rPr>
        <w:t>(Abdel-Khalek et al., 2020)</w:t>
      </w:r>
      <w:r w:rsidR="003F23D6">
        <w:rPr>
          <w:rFonts w:ascii="Garamond" w:hAnsi="Garamond"/>
        </w:rPr>
        <w:fldChar w:fldCharType="end"/>
      </w:r>
      <w:r w:rsidRPr="004B0D60">
        <w:rPr>
          <w:rFonts w:ascii="Garamond" w:hAnsi="Garamond"/>
        </w:rPr>
        <w:t xml:space="preserve">. This shows that military expenditure can be a catalyst for growth if it is strategically directed to support </w:t>
      </w:r>
      <w:proofErr w:type="spellStart"/>
      <w:r w:rsidRPr="004B0D60">
        <w:rPr>
          <w:rFonts w:ascii="Garamond" w:hAnsi="Garamond"/>
        </w:rPr>
        <w:t>defense</w:t>
      </w:r>
      <w:proofErr w:type="spellEnd"/>
      <w:r w:rsidRPr="004B0D60">
        <w:rPr>
          <w:rFonts w:ascii="Garamond" w:hAnsi="Garamond"/>
        </w:rPr>
        <w:t xml:space="preserve"> industry independence and national innovation.</w:t>
      </w:r>
    </w:p>
    <w:p w14:paraId="2BB1D48A" w14:textId="33B81616" w:rsidR="004B0D60" w:rsidRPr="004B0D60" w:rsidRDefault="004B0D60" w:rsidP="004B0D60">
      <w:pPr>
        <w:ind w:firstLine="360"/>
        <w:jc w:val="both"/>
        <w:rPr>
          <w:rFonts w:ascii="Garamond" w:hAnsi="Garamond"/>
        </w:rPr>
      </w:pPr>
      <w:r w:rsidRPr="004B0D60">
        <w:rPr>
          <w:rFonts w:ascii="Garamond" w:hAnsi="Garamond"/>
        </w:rPr>
        <w:t xml:space="preserve">By contrast, our findings diverge from those of </w:t>
      </w:r>
      <w:r w:rsidR="003F23D6">
        <w:rPr>
          <w:rFonts w:ascii="Garamond" w:hAnsi="Garamond"/>
        </w:rPr>
        <w:fldChar w:fldCharType="begin" w:fldLock="1"/>
      </w:r>
      <w:r w:rsidR="002A5831">
        <w:rPr>
          <w:rFonts w:ascii="Garamond" w:hAnsi="Garamond"/>
        </w:rPr>
        <w:instrText>ADDIN CSL_CITATION {"citationItems":[{"id":"ITEM-1","itemData":{"DOI":"10.1007/s11135-019-00910-9","ISBN":"0123456789","ISSN":"15737845","abstract":"This paper examines the correlation between public policies in the field of military expenditures and economic growth in Romania. The research is built upon the vast literature focused on the field of public policies and economic growth. Whereas economic growth became one of the most dynamic areas in economics, this correlation will consider the determinants of the real sector development through economic phenomenon modeling. The impact of military expenditures on growth is analysed for Romania, using annual data over the period 1991–2016. The research methodology employed is the Granger causality test. The empirical results reveal that there is a bidirectional relationship between military expenditure and GDP over the long run, with a positive effect described by both relationships through several models exemplified in the analysis. From the economic point of view, these results highlight the impact of military expenditures, generating different positive effects on labor, capital, economic growth and efficient use of resources in the economic sector, at the national level.","author":[{"dropping-particle":"","family":"Lobont","given":"Oana Ramona","non-dropping-particle":"","parse-names":false,"suffix":""},{"dropping-particle":"","family":"Glont","given":"Oana Ramona","non-dropping-particle":"","parse-names":false,"suffix":""},{"dropping-particle":"","family":"Badea","given":"Leonardo","non-dropping-particle":"","parse-names":false,"suffix":""},{"dropping-particle":"","family":"Vatavu","given":"Sorana","non-dropping-particle":"","parse-names":false,"suffix":""}],"container-title":"Quality and Quantity","id":"ITEM-1","issue":"6","issued":{"date-parts":[["2019"]]},"page":"2957-2968","publisher":"Springer Netherlands","title":"Correlation of military expenditures and economic growth: lessons for Romania","type":"article-journal","volume":"53"},"uris":["http://www.mendeley.com/documents/?uuid=d9a451ef-6aa9-4b11-9e2d-f2df97801218"]},{"id":"ITEM-2","itemData":{"author":[{"dropping-particle":"","family":"Selvanathan","given":"Saroja","non-dropping-particle":"","parse-names":false,"suffix":""},{"dropping-particle":"","family":"Selvanathan","given":"Eliyathamby A","non-dropping-particle":"","parse-names":false,"suffix":""}],"container-title":"International Journal of Development and Conflict","id":"ITEM-2","issued":{"date-parts":[["2014"]]},"page":"69-76","title":"Defence expenditure and economic growth: a case study of sri lanka using causality analysis","type":"article-journal","volume":"4"},"uris":["http://www.mendeley.com/documents/?uuid=ad105303-24da-4601-9309-218691508271"]},{"id":"ITEM-3","itemData":{"abstract":"The principal attributes of this study were to examine the effect of military expenditures on economic expansion in the long run from the perspective of Pakistan. We took the yearly data from the year 1961 to 2018 and used A R D L estimation technique for empirical results. Through our results, we can confirm the existence of a connection between military spending and economic expansion of Pakistan in the long run. Additionally, over the long term, a positive outcome of military expenditures is observed upon the financial development of Pakistan. Hostile India and Kashmir issue are the principal reason behind a large-scale military expenditure of Pakistan. Solving this dispute and improving bilateral relations can help to reduce the extensive military budget and to attain efficient resource allocation for both countries.","author":[{"dropping-particle":"","family":"Fazal Rehman","given":"Syed","non-dropping-particle":"","parse-names":false,"suffix":""}],"container-title":"Bulletin of Business and Economics","id":"ITEM-3","issue":"3","issued":{"date-parts":[["2020"]]},"page":"106-112","title":"Exploring the Long Run Effects and Relationship of Military Expenditures and Economic Growth in the Scenario of Pakistan","type":"article-journal","volume":"9"},"uris":["http://www.mendeley.com/documents/?uuid=8078e681-0359-4678-9e7f-5d10d8156e77"]}],"mendeley":{"formattedCitation":"(Fazal Rehman, 2020; Lobont et al., 2019; Selvanathan &amp; Selvanathan, 2014)","plainTextFormattedCitation":"(Fazal Rehman, 2020; Lobont et al., 2019; Selvanathan &amp; Selvanathan, 2014)","previouslyFormattedCitation":"(Fazal Rehman, 2020; Lobont et al., 2019; Selvanathan &amp; Selvanathan, 2014)"},"properties":{"noteIndex":0},"schema":"https://github.com/citation-style-language/schema/raw/master/csl-citation.json"}</w:instrText>
      </w:r>
      <w:r w:rsidR="003F23D6">
        <w:rPr>
          <w:rFonts w:ascii="Garamond" w:hAnsi="Garamond"/>
        </w:rPr>
        <w:fldChar w:fldCharType="separate"/>
      </w:r>
      <w:r w:rsidR="003F23D6" w:rsidRPr="003F23D6">
        <w:rPr>
          <w:rFonts w:ascii="Garamond" w:hAnsi="Garamond"/>
          <w:noProof/>
        </w:rPr>
        <w:t>(Fazal Rehman, 2020; Lobont et al., 2019; Selvanathan &amp; Selvanathan, 2014)</w:t>
      </w:r>
      <w:r w:rsidR="003F23D6">
        <w:rPr>
          <w:rFonts w:ascii="Garamond" w:hAnsi="Garamond"/>
        </w:rPr>
        <w:fldChar w:fldCharType="end"/>
      </w:r>
      <w:r w:rsidRPr="004B0D60">
        <w:rPr>
          <w:rFonts w:ascii="Garamond" w:hAnsi="Garamond"/>
        </w:rPr>
        <w:t xml:space="preserve"> who found a positive linkage between military expenditure and economic growth, in line with the Keynesian framework that views government spending as an instrument to drive aggregate demand and economic stabilization. In Indonesia, a unidirectional relationship from military expenditure to economic growth was also observed during the New Order and early reform periods </w:t>
      </w:r>
      <w:r w:rsidR="002A5831">
        <w:rPr>
          <w:rFonts w:ascii="Garamond" w:hAnsi="Garamond"/>
        </w:rPr>
        <w:fldChar w:fldCharType="begin" w:fldLock="1"/>
      </w:r>
      <w:r w:rsidR="002A5831">
        <w:rPr>
          <w:rFonts w:ascii="Garamond" w:hAnsi="Garamond"/>
        </w:rPr>
        <w:instrText>ADDIN CSL_CITATION {"citationItems":[{"id":"ITEM-1","itemData":{"abstract":"This study aims to determine and analyze the causality between defense spending and economic growth in Indonesia. Data analysis used is descriptive analysis and inductive analysis. In the inductive analysis using the VAR approach, there are several tests, namely: (1) Test Stationaryity; (2) Cointegration Test; (3) Optimal Lag Determination; (4) Granger Causality Test; (5) Impulse Response Function; (6) Variance Decomposition. Research results show that: There is no causal relationship between defense spending and economic growth in Indonesia. However, there is a direct relationship of defense spending to economic growth. Keywords","author":[{"dropping-particle":"","family":"Putra","given":"Bayu Rahmadi","non-dropping-particle":"","parse-names":false,"suffix":""},{"dropping-particle":"","family":"Yeniwati","given":"","non-dropping-particle":"","parse-names":false,"suffix":""},{"dropping-particle":"","family":"Adry","given":"Roza Melti","non-dropping-particle":"","parse-names":false,"suffix":""}],"container-title":"Jurnal Ecosains,","id":"ITEM-1","issue":"2","issued":{"date-parts":[["2019"]]},"page":"177-184","title":"Causality Analysis of Defense Spending and Economic Growth in Indonesia","type":"article-journal","volume":"8"},"uris":["http://www.mendeley.com/documents/?uuid=108d7420-7ca2-4482-9c4c-547ec57785ba"]}],"mendeley":{"formattedCitation":"(Putra et al., 2019)","plainTextFormattedCitation":"(Putra et al., 2019)","previouslyFormattedCitation":"(Putra et al., 2019)"},"properties":{"noteIndex":0},"schema":"https://github.com/citation-style-language/schema/raw/master/csl-citation.json"}</w:instrText>
      </w:r>
      <w:r w:rsidR="002A5831">
        <w:rPr>
          <w:rFonts w:ascii="Garamond" w:hAnsi="Garamond"/>
        </w:rPr>
        <w:fldChar w:fldCharType="separate"/>
      </w:r>
      <w:r w:rsidR="002A5831" w:rsidRPr="002A5831">
        <w:rPr>
          <w:rFonts w:ascii="Garamond" w:hAnsi="Garamond"/>
          <w:noProof/>
        </w:rPr>
        <w:t>(Putra et al., 2019)</w:t>
      </w:r>
      <w:r w:rsidR="002A5831">
        <w:rPr>
          <w:rFonts w:ascii="Garamond" w:hAnsi="Garamond"/>
        </w:rPr>
        <w:fldChar w:fldCharType="end"/>
      </w:r>
      <w:r w:rsidRPr="004B0D60">
        <w:rPr>
          <w:rFonts w:ascii="Garamond" w:hAnsi="Garamond"/>
        </w:rPr>
        <w:t xml:space="preserve"> One factor supporting this finding is the implementation of countertrade in </w:t>
      </w:r>
      <w:proofErr w:type="spellStart"/>
      <w:r w:rsidRPr="004B0D60">
        <w:rPr>
          <w:rFonts w:ascii="Garamond" w:hAnsi="Garamond"/>
        </w:rPr>
        <w:t>defense</w:t>
      </w:r>
      <w:proofErr w:type="spellEnd"/>
      <w:r w:rsidRPr="004B0D60">
        <w:rPr>
          <w:rFonts w:ascii="Garamond" w:hAnsi="Garamond"/>
        </w:rPr>
        <w:t xml:space="preserve"> equipment procurement, whereby export commodities such as crude palm oil and rubber were used as barter instruments </w:t>
      </w:r>
      <w:r w:rsidR="002A5831">
        <w:rPr>
          <w:rFonts w:ascii="Garamond" w:hAnsi="Garamond"/>
        </w:rPr>
        <w:fldChar w:fldCharType="begin" w:fldLock="1"/>
      </w:r>
      <w:r w:rsidR="00401619">
        <w:rPr>
          <w:rFonts w:ascii="Garamond" w:hAnsi="Garamond"/>
        </w:rPr>
        <w:instrText>ADDIN CSL_CITATION {"citationItems":[{"id":"ITEM-1","itemData":{"DOI":"10.1080/10242694.2022.2065423","ISSN":"14768267","abstract":"The purpose of this paper is to examine the performance of Indonesia’s informal offset policy over the period 1976-2014. The paper offers four original academic perspectives: firstly, it is framed by reference to what Indonesia’s former Minister of Technology, Dr Habibie, described as the Progressive Manufacturing Plan, a novel approach in which offset was intended to play a critical supportive role in the systematic development of strategic civil-military industries; secondly, the analysis is structured into three distinctive ‘development-survival-revival’ industrialisation stages that impacted on the performance of both offset and the broader defence economy; thirdly, the study is uniquely different in the sense that the offset case studies all occurred in an era absent of a formal offset policy regime; and lastly, the study provides a wealth of rich data in a subject field well-known for its sensitivity, if not secrecy, and thus is characterised by a paucity of empirical evaluation.","author":[{"dropping-particle":"","family":"Maharani","given":"Curie","non-dropping-particle":"","parse-names":false,"suffix":""},{"dropping-particle":"","family":"Matthews","given":"Ron","non-dropping-particle":"","parse-names":false,"suffix":""}],"container-title":"Defence and Peace Economics","id":"ITEM-1","issue":"7","issued":{"date-parts":[["2023"]]},"page":"981-1002","title":"The Role of Offset in the Enduring Gestation of Indonesia’s Strategic Industries","type":"article-journal","volume":"34"},"uris":["http://www.mendeley.com/documents/?uuid=a59556ba-efa0-4127-a05c-f6467b90d9fa"]}],"mendeley":{"formattedCitation":"(Maharani &amp; Matthews, 2023)","plainTextFormattedCitation":"(Maharani &amp; Matthews, 2023)","previouslyFormattedCitation":"(Maharani &amp; Matthews, 2023)"},"properties":{"noteIndex":0},"schema":"https://github.com/citation-style-language/schema/raw/master/csl-citation.json"}</w:instrText>
      </w:r>
      <w:r w:rsidR="002A5831">
        <w:rPr>
          <w:rFonts w:ascii="Garamond" w:hAnsi="Garamond"/>
        </w:rPr>
        <w:fldChar w:fldCharType="separate"/>
      </w:r>
      <w:r w:rsidR="002A5831" w:rsidRPr="002A5831">
        <w:rPr>
          <w:rFonts w:ascii="Garamond" w:hAnsi="Garamond"/>
          <w:noProof/>
        </w:rPr>
        <w:t>(Maharani &amp; Matthews, 2023)</w:t>
      </w:r>
      <w:r w:rsidR="002A5831">
        <w:rPr>
          <w:rFonts w:ascii="Garamond" w:hAnsi="Garamond"/>
        </w:rPr>
        <w:fldChar w:fldCharType="end"/>
      </w:r>
      <w:r w:rsidRPr="004B0D60">
        <w:rPr>
          <w:rFonts w:ascii="Garamond" w:hAnsi="Garamond"/>
        </w:rPr>
        <w:t>. This practice not only facilitated strategic acquisitions but also had direct implications for the trade balance.</w:t>
      </w:r>
    </w:p>
    <w:p w14:paraId="6033768A" w14:textId="77777777" w:rsidR="004B0D60" w:rsidRPr="004B0D60" w:rsidRDefault="004B0D60" w:rsidP="004B0D60">
      <w:pPr>
        <w:ind w:firstLine="360"/>
        <w:jc w:val="both"/>
        <w:rPr>
          <w:rFonts w:ascii="Garamond" w:hAnsi="Garamond"/>
        </w:rPr>
      </w:pPr>
      <w:r w:rsidRPr="004B0D60">
        <w:rPr>
          <w:rFonts w:ascii="Garamond" w:hAnsi="Garamond"/>
        </w:rPr>
        <w:t xml:space="preserve">The divergent results of this study indicate that the impact of military expenditure on economic growth is strongly contingent upon the prevailing policy context and macroeconomic conditions. Indonesia's relatively small share of </w:t>
      </w:r>
      <w:proofErr w:type="spellStart"/>
      <w:r w:rsidRPr="004B0D60">
        <w:rPr>
          <w:rFonts w:ascii="Garamond" w:hAnsi="Garamond"/>
        </w:rPr>
        <w:t>defense</w:t>
      </w:r>
      <w:proofErr w:type="spellEnd"/>
      <w:r w:rsidRPr="004B0D60">
        <w:rPr>
          <w:rFonts w:ascii="Garamond" w:hAnsi="Garamond"/>
        </w:rPr>
        <w:t xml:space="preserve"> budget averaged only 0.7% of GDP compared to the ideal standard of 2–3% of GDP. Expenditure orientation that is still dominated by routine expenditure and imports of </w:t>
      </w:r>
      <w:proofErr w:type="spellStart"/>
      <w:r w:rsidRPr="004B0D60">
        <w:rPr>
          <w:rFonts w:ascii="Garamond" w:hAnsi="Garamond"/>
        </w:rPr>
        <w:t>defense</w:t>
      </w:r>
      <w:proofErr w:type="spellEnd"/>
      <w:r w:rsidRPr="004B0D60">
        <w:rPr>
          <w:rFonts w:ascii="Garamond" w:hAnsi="Garamond"/>
        </w:rPr>
        <w:t xml:space="preserve"> equipment, and the relatively stable domestic security situation has resulted in a weaker fiscal multiplier effect. Unlike the contexts of Sri Lanka, Romania, and Pakistan, which have either experienced conflict or pursued a strong emphasis on domestic procurement, military expenditure can play a more stimulative role. Thus, Indonesia was in a stable condition during the 2000–2023 period, with limited domestic </w:t>
      </w:r>
      <w:proofErr w:type="spellStart"/>
      <w:r w:rsidRPr="004B0D60">
        <w:rPr>
          <w:rFonts w:ascii="Garamond" w:hAnsi="Garamond"/>
        </w:rPr>
        <w:t>defense</w:t>
      </w:r>
      <w:proofErr w:type="spellEnd"/>
      <w:r w:rsidRPr="004B0D60">
        <w:rPr>
          <w:rFonts w:ascii="Garamond" w:hAnsi="Garamond"/>
        </w:rPr>
        <w:t xml:space="preserve"> industry integration making military expenditure more of a reactive response to fiscal capacity than as a catalyst for growth.</w:t>
      </w:r>
    </w:p>
    <w:p w14:paraId="3157861E" w14:textId="1EB96C8F" w:rsidR="004B0D60" w:rsidRPr="004B0D60" w:rsidRDefault="004B0D60" w:rsidP="004B0D60">
      <w:pPr>
        <w:ind w:firstLine="360"/>
        <w:jc w:val="both"/>
        <w:rPr>
          <w:rFonts w:ascii="Garamond" w:hAnsi="Garamond"/>
        </w:rPr>
      </w:pPr>
      <w:r w:rsidRPr="004B0D60">
        <w:rPr>
          <w:rFonts w:ascii="Garamond" w:hAnsi="Garamond"/>
        </w:rPr>
        <w:t xml:space="preserve">Furthermore, the identification of a unidirectional relationship from military expenditure to the exchange rate suggests that fluctuations in the rupiah during the observation period were influenced by dynamics in </w:t>
      </w:r>
      <w:proofErr w:type="spellStart"/>
      <w:r w:rsidRPr="004B0D60">
        <w:rPr>
          <w:rFonts w:ascii="Garamond" w:hAnsi="Garamond"/>
        </w:rPr>
        <w:t>defense</w:t>
      </w:r>
      <w:proofErr w:type="spellEnd"/>
      <w:r w:rsidRPr="004B0D60">
        <w:rPr>
          <w:rFonts w:ascii="Garamond" w:hAnsi="Garamond"/>
        </w:rPr>
        <w:t xml:space="preserve"> spending. This finding is consistent with </w:t>
      </w:r>
      <w:r w:rsidR="00401619">
        <w:rPr>
          <w:rFonts w:ascii="Garamond" w:hAnsi="Garamond"/>
        </w:rPr>
        <w:fldChar w:fldCharType="begin" w:fldLock="1"/>
      </w:r>
      <w:r w:rsidR="00401619">
        <w:rPr>
          <w:rFonts w:ascii="Garamond" w:hAnsi="Garamond"/>
        </w:rPr>
        <w:instrText>ADDIN CSL_CITATION {"citationItems":[{"id":"ITEM-1","itemData":{"DOI":"10.1016/j.jinteco.2018.11.009","ISSN":"18730353","abstract":"Using panel data on military spending for 125 countries, we document new facts about the effects of changes in government purchases on the real exchange rate, consumption, and current accounts in both advanced and developing countries. While an increase in government purchases causes real exchange rates to appreciate and increases consumption significantly in developing countries, it causes real exchange rates to depreciate and decreases consumption in advanced countries. The current account decreases in both groups of countries. These findings are not consistent with standard international business cycle models. We discuss potential sources of the differences between advanced and developing countries in the responses to spending shocks.","author":[{"dropping-particle":"","family":"Miyamoto","given":"Wataru","non-dropping-particle":"","parse-names":false,"suffix":""},{"dropping-particle":"","family":"Nguyen","given":"Thuy Lan","non-dropping-particle":"","parse-names":false,"suffix":""},{"dropping-particle":"","family":"Sheremirov","given":"Viacheslav","non-dropping-particle":"","parse-names":false,"suffix":""}],"container-title":"Journal of International Economics","id":"ITEM-1","issued":{"date-parts":[["2019"]]},"page":"144-157","publisher":"Elsevier B.V","title":"The effects of government spending on real exchange rates: Evidence from military spending panel data","type":"article-journal","volume":"116"},"uris":["http://www.mendeley.com/documents/?uuid=26cfd147-1af9-4d3c-b665-3ac98ed87eff"]}],"mendeley":{"formattedCitation":"(Miyamoto et al., 2019)","plainTextFormattedCitation":"(Miyamoto et al., 2019)","previouslyFormattedCitation":"(Miyamoto et al., 2019)"},"properties":{"noteIndex":0},"schema":"https://github.com/citation-style-language/schema/raw/master/csl-citation.json"}</w:instrText>
      </w:r>
      <w:r w:rsidR="00401619">
        <w:rPr>
          <w:rFonts w:ascii="Garamond" w:hAnsi="Garamond"/>
        </w:rPr>
        <w:fldChar w:fldCharType="separate"/>
      </w:r>
      <w:r w:rsidR="00401619" w:rsidRPr="00401619">
        <w:rPr>
          <w:rFonts w:ascii="Garamond" w:hAnsi="Garamond"/>
          <w:noProof/>
        </w:rPr>
        <w:t>(Miyamoto et al., 2019)</w:t>
      </w:r>
      <w:r w:rsidR="00401619">
        <w:rPr>
          <w:rFonts w:ascii="Garamond" w:hAnsi="Garamond"/>
        </w:rPr>
        <w:fldChar w:fldCharType="end"/>
      </w:r>
      <w:r w:rsidRPr="004B0D60">
        <w:rPr>
          <w:rFonts w:ascii="Garamond" w:hAnsi="Garamond"/>
        </w:rPr>
        <w:t xml:space="preserve"> which states that military expenditure can trigger real exchange rate appreciation in developing countries through changes in market expectations regarding the government's fiscal position. Similar to </w:t>
      </w:r>
      <w:r w:rsidR="00401619">
        <w:rPr>
          <w:rFonts w:ascii="Garamond" w:hAnsi="Garamond"/>
        </w:rPr>
        <w:fldChar w:fldCharType="begin" w:fldLock="1"/>
      </w:r>
      <w:r w:rsidR="00401619">
        <w:rPr>
          <w:rFonts w:ascii="Garamond" w:hAnsi="Garamond"/>
        </w:rPr>
        <w:instrText>ADDIN CSL_CITATION {"citationItems":[{"id":"ITEM-1","itemData":{"DOI":"10.32815/jibeka.v17i3.1177","ISSN":"0126-1258","abstract":"One of the fiscal policy strategies used by the government to strengthen the economy and national security is military expenditure. There are many inconsistencies in the results of research examining the influence of military expenditure on economic growth, and it is still rare to find research that validates the influence of military expenditure on the exchange rate. Through time series data in Indonesia during the 1999-2021 period, this research validates the relationship between these three variables using Two-stage Least Square (2SLS) Regression Analysis. The estimation results using econometric models provide empirical evidence of the strength of military expenditure in influencing economic growth and the exchange rate, although the level of influence on economic growth is much higher than the exchange rate. It is recommended that further research carry out a Granger causality test and a Johansen cointegration test to determine the term of the causal relationship between the three variables studied.","author":[{"dropping-particle":"","family":"Soelistyo","given":"Aris","non-dropping-particle":"","parse-names":false,"suffix":""}],"container-title":"Jurnal Ilmiah Bisnis dan Ekonomi Asia","id":"ITEM-1","issue":"3","issued":{"date-parts":[["2023"]]},"page":"266-278","title":"How Strongly Does Military Expenditure Impact Economic Growth and the Exchange Rate?","type":"article-journal","volume":"17"},"uris":["http://www.mendeley.com/documents/?uuid=5320e8d9-f417-4322-a318-6a846427f646"]}],"mendeley":{"formattedCitation":"(Soelistyo, 2023)","plainTextFormattedCitation":"(Soelistyo, 2023)","previouslyFormattedCitation":"(Soelistyo, 2023)"},"properties":{"noteIndex":0},"schema":"https://github.com/citation-style-language/schema/raw/master/csl-citation.json"}</w:instrText>
      </w:r>
      <w:r w:rsidR="00401619">
        <w:rPr>
          <w:rFonts w:ascii="Garamond" w:hAnsi="Garamond"/>
        </w:rPr>
        <w:fldChar w:fldCharType="separate"/>
      </w:r>
      <w:r w:rsidR="00401619" w:rsidRPr="00401619">
        <w:rPr>
          <w:rFonts w:ascii="Garamond" w:hAnsi="Garamond"/>
          <w:noProof/>
        </w:rPr>
        <w:t>(Soelistyo, 2023)</w:t>
      </w:r>
      <w:r w:rsidR="00401619">
        <w:rPr>
          <w:rFonts w:ascii="Garamond" w:hAnsi="Garamond"/>
        </w:rPr>
        <w:fldChar w:fldCharType="end"/>
      </w:r>
      <w:r w:rsidRPr="004B0D60">
        <w:rPr>
          <w:rFonts w:ascii="Garamond" w:hAnsi="Garamond"/>
        </w:rPr>
        <w:t xml:space="preserve"> the effect of military expenditure on the exchange rate in Indonesia tends to be moderate but remains significant in maintaining currency stability. These results support the Mundell–Fleming framework, whereby fiscal expansion affects interest rates and capital flows, which in turn influence the exchange rate </w:t>
      </w:r>
      <w:r w:rsidR="00401619">
        <w:rPr>
          <w:rFonts w:ascii="Garamond" w:hAnsi="Garamond"/>
        </w:rPr>
        <w:fldChar w:fldCharType="begin" w:fldLock="1"/>
      </w:r>
      <w:r w:rsidR="00765D87">
        <w:rPr>
          <w:rFonts w:ascii="Garamond" w:hAnsi="Garamond"/>
        </w:rPr>
        <w:instrText>ADDIN CSL_CITATION {"citationItems":[{"id":"ITEM-1","itemData":{"ISBN":"978-1-4292-1887-0","ISSN":"0021-9525","author":[{"dropping-particle":"","family":"Mankiw","given":"Gregory N","non-dropping-particle":"","parse-names":false,"suffix":""}],"container-title":"Worth Publishers","edition":"7th","editor":[{"dropping-particle":"","family":"Kasowitz","given":"Dana","non-dropping-particle":"","parse-names":false,"suffix":""}],"id":"ITEM-1","issued":{"date-parts":[["2009","2"]]},"publisher":"Worth Publisher","publisher-place":"New York","title":"Macroeconomics","type":"book"},"uris":["http://www.mendeley.com/documents/?uuid=4f2da313-3873-42a0-8f58-c63e24a01255"]}],"mendeley":{"formattedCitation":"(Mankiw, 2009)","plainTextFormattedCitation":"(Mankiw, 2009)","previouslyFormattedCitation":"(Mankiw, 2009)"},"properties":{"noteIndex":0},"schema":"https://github.com/citation-style-language/schema/raw/master/csl-citation.json"}</w:instrText>
      </w:r>
      <w:r w:rsidR="00401619">
        <w:rPr>
          <w:rFonts w:ascii="Garamond" w:hAnsi="Garamond"/>
        </w:rPr>
        <w:fldChar w:fldCharType="separate"/>
      </w:r>
      <w:r w:rsidR="00401619" w:rsidRPr="00401619">
        <w:rPr>
          <w:rFonts w:ascii="Garamond" w:hAnsi="Garamond"/>
          <w:noProof/>
        </w:rPr>
        <w:t>(Mankiw, 2009)</w:t>
      </w:r>
      <w:r w:rsidR="00401619">
        <w:rPr>
          <w:rFonts w:ascii="Garamond" w:hAnsi="Garamond"/>
        </w:rPr>
        <w:fldChar w:fldCharType="end"/>
      </w:r>
      <w:r w:rsidRPr="004B0D60">
        <w:rPr>
          <w:rFonts w:ascii="Garamond" w:hAnsi="Garamond"/>
        </w:rPr>
        <w:t>. Nevertheless, this influence is likely to interact with external factors such as global commodity prices and monetary policy, and therefore should be interpreted with caution.</w:t>
      </w:r>
    </w:p>
    <w:p w14:paraId="1846E534" w14:textId="148B2623" w:rsidR="00913194" w:rsidRDefault="004B0D60" w:rsidP="00205C77">
      <w:pPr>
        <w:ind w:firstLine="360"/>
        <w:jc w:val="both"/>
        <w:rPr>
          <w:rFonts w:ascii="Garamond" w:hAnsi="Garamond"/>
        </w:rPr>
      </w:pPr>
      <w:r w:rsidRPr="004B0D60">
        <w:rPr>
          <w:rFonts w:ascii="Garamond" w:hAnsi="Garamond"/>
        </w:rPr>
        <w:t xml:space="preserve">The results of this study expand the literature by confirming that military expenditure in Indonesia is influenced by national fiscal capacity and has implications for exchange rate stability. These findings highlight the importance of integrating </w:t>
      </w:r>
      <w:proofErr w:type="spellStart"/>
      <w:r w:rsidRPr="004B0D60">
        <w:rPr>
          <w:rFonts w:ascii="Garamond" w:hAnsi="Garamond"/>
        </w:rPr>
        <w:t>defense</w:t>
      </w:r>
      <w:proofErr w:type="spellEnd"/>
      <w:r w:rsidRPr="004B0D60">
        <w:rPr>
          <w:rFonts w:ascii="Garamond" w:hAnsi="Garamond"/>
        </w:rPr>
        <w:t xml:space="preserve"> policy with broader economic development strategies, optimizing domestic procurement, and strengthening national strategic industries to reduce pressure on </w:t>
      </w:r>
      <w:r w:rsidRPr="004B0D60">
        <w:rPr>
          <w:rFonts w:ascii="Garamond" w:hAnsi="Garamond"/>
        </w:rPr>
        <w:lastRenderedPageBreak/>
        <w:t xml:space="preserve">the exchange rate. The practical implication is that </w:t>
      </w:r>
      <w:proofErr w:type="spellStart"/>
      <w:r w:rsidRPr="004B0D60">
        <w:rPr>
          <w:rFonts w:ascii="Garamond" w:hAnsi="Garamond"/>
        </w:rPr>
        <w:t>defense</w:t>
      </w:r>
      <w:proofErr w:type="spellEnd"/>
      <w:r w:rsidRPr="004B0D60">
        <w:rPr>
          <w:rFonts w:ascii="Garamond" w:hAnsi="Garamond"/>
        </w:rPr>
        <w:t xml:space="preserve"> spending should be directed toward maximizing economic multiplier effects through domestic sourcing and industrial innovation, thereby ensuring a more sustainable impact on both economic growth and macroeconomic stability.</w:t>
      </w:r>
    </w:p>
    <w:p w14:paraId="582F8DCD" w14:textId="77777777" w:rsidR="0077518A" w:rsidRPr="00913194" w:rsidRDefault="0077518A" w:rsidP="00205C77">
      <w:pPr>
        <w:ind w:firstLine="360"/>
        <w:jc w:val="both"/>
        <w:rPr>
          <w:rFonts w:ascii="Garamond" w:hAnsi="Garamond"/>
        </w:rPr>
      </w:pPr>
    </w:p>
    <w:p w14:paraId="041300A5" w14:textId="550165E2" w:rsidR="003259C2" w:rsidRPr="00205C77" w:rsidRDefault="003259C2" w:rsidP="003259C2">
      <w:pPr>
        <w:pStyle w:val="ListParagraph"/>
        <w:numPr>
          <w:ilvl w:val="0"/>
          <w:numId w:val="79"/>
        </w:numPr>
        <w:jc w:val="both"/>
        <w:rPr>
          <w:rFonts w:ascii="Garamond" w:hAnsi="Garamond"/>
        </w:rPr>
      </w:pPr>
      <w:r>
        <w:rPr>
          <w:rFonts w:ascii="Garamond" w:hAnsi="Garamond"/>
          <w:b/>
          <w:bCs/>
        </w:rPr>
        <w:t>CONCLUSIONS</w:t>
      </w:r>
    </w:p>
    <w:p w14:paraId="0595D10C" w14:textId="0293E374" w:rsidR="00205C77" w:rsidRDefault="00205C77" w:rsidP="00205C77">
      <w:pPr>
        <w:ind w:firstLine="360"/>
        <w:jc w:val="both"/>
        <w:rPr>
          <w:rFonts w:ascii="Garamond" w:hAnsi="Garamond"/>
        </w:rPr>
      </w:pPr>
      <w:r w:rsidRPr="00205C77">
        <w:rPr>
          <w:rFonts w:ascii="Garamond" w:hAnsi="Garamond"/>
        </w:rPr>
        <w:t xml:space="preserve">This research investigates the causal relationship between economic growth, military expenditure, and exchange rates in Indonesia from 2000 to 2023. The results of the stationarity test indicate that all variables are non-stationary in their level form, and become stationary after first differencing </w:t>
      </w:r>
      <w:proofErr w:type="gramStart"/>
      <w:r w:rsidRPr="00205C77">
        <w:rPr>
          <w:rFonts w:ascii="Garamond" w:hAnsi="Garamond"/>
        </w:rPr>
        <w:t>I(</w:t>
      </w:r>
      <w:proofErr w:type="gramEnd"/>
      <w:r w:rsidRPr="00205C77">
        <w:rPr>
          <w:rFonts w:ascii="Garamond" w:hAnsi="Garamond"/>
        </w:rPr>
        <w:t xml:space="preserve">1), thus meeting the requirements for the cointegration test. The results confirm the presence of a cointegration equation that shows a structural relationship between variables in the long term, indicating that there is a </w:t>
      </w:r>
      <w:r w:rsidR="00044302">
        <w:rPr>
          <w:rFonts w:ascii="Garamond" w:hAnsi="Garamond"/>
        </w:rPr>
        <w:t>long-term</w:t>
      </w:r>
      <w:r w:rsidRPr="00205C77">
        <w:rPr>
          <w:rFonts w:ascii="Garamond" w:hAnsi="Garamond"/>
        </w:rPr>
        <w:t xml:space="preserve"> relationship among the variables, with a unidirectional causal flow from economic growth to military expenditure and from military expenditure to the exchange rate. These findings suggest that </w:t>
      </w:r>
      <w:proofErr w:type="spellStart"/>
      <w:r w:rsidRPr="00205C77">
        <w:rPr>
          <w:rFonts w:ascii="Garamond" w:hAnsi="Garamond"/>
        </w:rPr>
        <w:t>defense</w:t>
      </w:r>
      <w:proofErr w:type="spellEnd"/>
      <w:r w:rsidRPr="00205C77">
        <w:rPr>
          <w:rFonts w:ascii="Garamond" w:hAnsi="Garamond"/>
        </w:rPr>
        <w:t xml:space="preserve"> spending in Indonesia is primarily driven by fiscal capacity and exerts an influence on exchange-rate dynamics, but has not yet functioned as a catalyst for economic growth. Moreover, the identified causal linkage between military expenditure and the exchange rate indicates that fluctuations in </w:t>
      </w:r>
      <w:proofErr w:type="spellStart"/>
      <w:r w:rsidRPr="00205C77">
        <w:rPr>
          <w:rFonts w:ascii="Garamond" w:hAnsi="Garamond"/>
        </w:rPr>
        <w:t>defense</w:t>
      </w:r>
      <w:proofErr w:type="spellEnd"/>
      <w:r w:rsidRPr="00205C77">
        <w:rPr>
          <w:rFonts w:ascii="Garamond" w:hAnsi="Garamond"/>
        </w:rPr>
        <w:t xml:space="preserve"> spending can affect exchange-rate stability, particularly through arms imports.</w:t>
      </w:r>
    </w:p>
    <w:p w14:paraId="062D962C" w14:textId="6E7A46A0" w:rsidR="00F06D5B" w:rsidRDefault="00205C77" w:rsidP="00765D87">
      <w:pPr>
        <w:ind w:firstLine="360"/>
        <w:jc w:val="both"/>
        <w:rPr>
          <w:rFonts w:ascii="Garamond" w:hAnsi="Garamond"/>
        </w:rPr>
      </w:pPr>
      <w:r w:rsidRPr="00205C77">
        <w:rPr>
          <w:rFonts w:ascii="Garamond" w:hAnsi="Garamond"/>
        </w:rPr>
        <w:t xml:space="preserve">Policy recommendations that can be proposed based on empirical findings include establishing </w:t>
      </w:r>
      <w:proofErr w:type="spellStart"/>
      <w:r w:rsidRPr="00205C77">
        <w:rPr>
          <w:rFonts w:ascii="Garamond" w:hAnsi="Garamond"/>
        </w:rPr>
        <w:t>defense</w:t>
      </w:r>
      <w:proofErr w:type="spellEnd"/>
      <w:r w:rsidRPr="00205C77">
        <w:rPr>
          <w:rFonts w:ascii="Garamond" w:hAnsi="Garamond"/>
        </w:rPr>
        <w:t xml:space="preserve"> budget management standards that are oriented towards fiscal efficiency and economic productivity in order to ensure that military expenditure makes a real contribution to national development. This strategy needs to be supported by the integration of the </w:t>
      </w:r>
      <w:proofErr w:type="spellStart"/>
      <w:r w:rsidRPr="00205C77">
        <w:rPr>
          <w:rFonts w:ascii="Garamond" w:hAnsi="Garamond"/>
        </w:rPr>
        <w:t>defense</w:t>
      </w:r>
      <w:proofErr w:type="spellEnd"/>
      <w:r w:rsidRPr="00205C77">
        <w:rPr>
          <w:rFonts w:ascii="Garamond" w:hAnsi="Garamond"/>
        </w:rPr>
        <w:t xml:space="preserve"> budget into economic development plans through technology transfer, strengthening the domestic </w:t>
      </w:r>
      <w:proofErr w:type="spellStart"/>
      <w:r w:rsidRPr="00205C77">
        <w:rPr>
          <w:rFonts w:ascii="Garamond" w:hAnsi="Garamond"/>
        </w:rPr>
        <w:t>defense</w:t>
      </w:r>
      <w:proofErr w:type="spellEnd"/>
      <w:r w:rsidRPr="00205C77">
        <w:rPr>
          <w:rFonts w:ascii="Garamond" w:hAnsi="Garamond"/>
        </w:rPr>
        <w:t xml:space="preserve"> industry, and developing human resources. In addition, close coordination between the Ministry of Finance and the Ministry of </w:t>
      </w:r>
      <w:proofErr w:type="spellStart"/>
      <w:r w:rsidRPr="00205C77">
        <w:rPr>
          <w:rFonts w:ascii="Garamond" w:hAnsi="Garamond"/>
        </w:rPr>
        <w:t>Defense</w:t>
      </w:r>
      <w:proofErr w:type="spellEnd"/>
      <w:r w:rsidRPr="00205C77">
        <w:rPr>
          <w:rFonts w:ascii="Garamond" w:hAnsi="Garamond"/>
        </w:rPr>
        <w:t xml:space="preserve"> in formulating medium- and long-term military expenditure is crucial to anticipate fiscal impacts and maintain macroeconomic stability, particularly in relation to potential pressure on exchange rates and foreign exchange reserves due to external financing. Future research may extend this framework by incorporating additional macroeconomic variables such as inflation, public debt, or external shocks, as well as by employing panel data across countries to provide comparative insights into how different policy contexts shape the relationship between military expenditure, economic growth, and exchange-rate stability.</w:t>
      </w:r>
    </w:p>
    <w:p w14:paraId="7F1E35AD" w14:textId="77777777" w:rsidR="0077518A" w:rsidRPr="00C60980" w:rsidRDefault="0077518A" w:rsidP="00765D87">
      <w:pPr>
        <w:ind w:firstLine="360"/>
        <w:jc w:val="both"/>
        <w:rPr>
          <w:rFonts w:ascii="Garamond" w:hAnsi="Garamond"/>
        </w:rPr>
      </w:pPr>
    </w:p>
    <w:p w14:paraId="65B905BD" w14:textId="7B4EED30" w:rsidR="000A725F" w:rsidRDefault="00B315F0" w:rsidP="0054120A">
      <w:pPr>
        <w:contextualSpacing/>
        <w:jc w:val="both"/>
        <w:rPr>
          <w:rFonts w:ascii="Garamond" w:hAnsi="Garamond"/>
          <w:b/>
          <w:bCs/>
        </w:rPr>
      </w:pPr>
      <w:r w:rsidRPr="000A725F">
        <w:rPr>
          <w:rFonts w:ascii="Garamond" w:hAnsi="Garamond"/>
          <w:b/>
          <w:bCs/>
        </w:rPr>
        <w:t>REFERENCES</w:t>
      </w:r>
    </w:p>
    <w:p w14:paraId="6DC33DDB" w14:textId="05833F74" w:rsidR="00FD03BA" w:rsidRPr="00FD03BA" w:rsidRDefault="00765D87" w:rsidP="00FD03BA">
      <w:pPr>
        <w:widowControl w:val="0"/>
        <w:autoSpaceDE w:val="0"/>
        <w:autoSpaceDN w:val="0"/>
        <w:adjustRightInd w:val="0"/>
        <w:ind w:left="480" w:hanging="480"/>
        <w:rPr>
          <w:rFonts w:ascii="Garamond" w:hAnsi="Garamond"/>
          <w:noProof/>
        </w:rPr>
      </w:pPr>
      <w:r>
        <w:rPr>
          <w:rFonts w:ascii="Garamond" w:hAnsi="Garamond"/>
          <w:b/>
          <w:bCs/>
        </w:rPr>
        <w:fldChar w:fldCharType="begin" w:fldLock="1"/>
      </w:r>
      <w:r>
        <w:rPr>
          <w:rFonts w:ascii="Garamond" w:hAnsi="Garamond"/>
          <w:b/>
          <w:bCs/>
        </w:rPr>
        <w:instrText xml:space="preserve">ADDIN Mendeley Bibliography CSL_BIBLIOGRAPHY </w:instrText>
      </w:r>
      <w:r>
        <w:rPr>
          <w:rFonts w:ascii="Garamond" w:hAnsi="Garamond"/>
          <w:b/>
          <w:bCs/>
        </w:rPr>
        <w:fldChar w:fldCharType="separate"/>
      </w:r>
      <w:r w:rsidR="00FD03BA" w:rsidRPr="00FD03BA">
        <w:rPr>
          <w:rFonts w:ascii="Garamond" w:hAnsi="Garamond"/>
          <w:noProof/>
        </w:rPr>
        <w:t xml:space="preserve">Abdel-Khalek, G., Mazloum, M. G., &amp; El Zeiny, M. R. M. (2020). Military expenditure and economic growth: the case of India. </w:t>
      </w:r>
      <w:r w:rsidR="00FD03BA" w:rsidRPr="00FD03BA">
        <w:rPr>
          <w:rFonts w:ascii="Garamond" w:hAnsi="Garamond"/>
          <w:i/>
          <w:iCs/>
          <w:noProof/>
        </w:rPr>
        <w:t>Review of Economics and Political Science</w:t>
      </w:r>
      <w:r w:rsidR="00FD03BA" w:rsidRPr="00FD03BA">
        <w:rPr>
          <w:rFonts w:ascii="Garamond" w:hAnsi="Garamond"/>
          <w:noProof/>
        </w:rPr>
        <w:t xml:space="preserve">, </w:t>
      </w:r>
      <w:r w:rsidR="00FD03BA" w:rsidRPr="00FD03BA">
        <w:rPr>
          <w:rFonts w:ascii="Garamond" w:hAnsi="Garamond"/>
          <w:i/>
          <w:iCs/>
          <w:noProof/>
        </w:rPr>
        <w:t>5</w:t>
      </w:r>
      <w:r w:rsidR="00FD03BA" w:rsidRPr="00FD03BA">
        <w:rPr>
          <w:rFonts w:ascii="Garamond" w:hAnsi="Garamond"/>
          <w:noProof/>
        </w:rPr>
        <w:t>(2), 116–135. https://doi.org/10.1108/REPS-03-2019-0025</w:t>
      </w:r>
    </w:p>
    <w:p w14:paraId="7628ED6C"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Ali, A. A. (2021). The Causal Relationship between Military Expenditure and Economic Growth in Egypt during the period from 1980 to 2019. </w:t>
      </w:r>
      <w:r w:rsidRPr="00FD03BA">
        <w:rPr>
          <w:rFonts w:ascii="Garamond" w:hAnsi="Garamond"/>
          <w:i/>
          <w:iCs/>
          <w:noProof/>
        </w:rPr>
        <w:t>Scientific Journal for Economic&amp; Commerce</w:t>
      </w:r>
      <w:r w:rsidRPr="00FD03BA">
        <w:rPr>
          <w:rFonts w:ascii="Garamond" w:hAnsi="Garamond"/>
          <w:noProof/>
        </w:rPr>
        <w:t xml:space="preserve">, </w:t>
      </w:r>
      <w:r w:rsidRPr="00FD03BA">
        <w:rPr>
          <w:rFonts w:ascii="Garamond" w:hAnsi="Garamond"/>
          <w:i/>
          <w:iCs/>
          <w:noProof/>
        </w:rPr>
        <w:t>51</w:t>
      </w:r>
      <w:r w:rsidRPr="00FD03BA">
        <w:rPr>
          <w:rFonts w:ascii="Garamond" w:hAnsi="Garamond"/>
          <w:noProof/>
        </w:rPr>
        <w:t>(3), 701–734. https://doi.org/10.21608/jsec.2021.165846</w:t>
      </w:r>
    </w:p>
    <w:p w14:paraId="1B29339C"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Aulia Fitri. (2024). The Urgency of Increasing the Defense Budget for 2024. </w:t>
      </w:r>
      <w:r w:rsidRPr="00FD03BA">
        <w:rPr>
          <w:rFonts w:ascii="Garamond" w:hAnsi="Garamond"/>
          <w:i/>
          <w:iCs/>
          <w:noProof/>
        </w:rPr>
        <w:t>Jurnal Info DPR RI</w:t>
      </w:r>
      <w:r w:rsidRPr="00FD03BA">
        <w:rPr>
          <w:rFonts w:ascii="Garamond" w:hAnsi="Garamond"/>
          <w:noProof/>
        </w:rPr>
        <w:t xml:space="preserve">, </w:t>
      </w:r>
      <w:r w:rsidRPr="00FD03BA">
        <w:rPr>
          <w:rFonts w:ascii="Garamond" w:hAnsi="Garamond"/>
          <w:i/>
          <w:iCs/>
          <w:noProof/>
        </w:rPr>
        <w:t>XV</w:t>
      </w:r>
      <w:r w:rsidRPr="00FD03BA">
        <w:rPr>
          <w:rFonts w:ascii="Garamond" w:hAnsi="Garamond"/>
          <w:noProof/>
        </w:rPr>
        <w:t>(24), 1–5.</w:t>
      </w:r>
    </w:p>
    <w:p w14:paraId="16ADA664" w14:textId="77777777" w:rsidR="00FD03BA" w:rsidRPr="000F3E03" w:rsidRDefault="00FD03BA" w:rsidP="00FD03BA">
      <w:pPr>
        <w:widowControl w:val="0"/>
        <w:autoSpaceDE w:val="0"/>
        <w:autoSpaceDN w:val="0"/>
        <w:adjustRightInd w:val="0"/>
        <w:ind w:left="480" w:hanging="480"/>
        <w:rPr>
          <w:rFonts w:ascii="Garamond" w:hAnsi="Garamond"/>
          <w:noProof/>
          <w:lang w:val="fi-FI"/>
        </w:rPr>
      </w:pPr>
      <w:r w:rsidRPr="00FD03BA">
        <w:rPr>
          <w:rFonts w:ascii="Garamond" w:hAnsi="Garamond"/>
          <w:noProof/>
        </w:rPr>
        <w:t xml:space="preserve">Azam, M. (2020). Does military spending stifle economic growth? The empirical evidence from non-OECD countries. </w:t>
      </w:r>
      <w:r w:rsidRPr="000F3E03">
        <w:rPr>
          <w:rFonts w:ascii="Garamond" w:hAnsi="Garamond"/>
          <w:i/>
          <w:iCs/>
          <w:noProof/>
          <w:lang w:val="fi-FI"/>
        </w:rPr>
        <w:t>Heliyon</w:t>
      </w:r>
      <w:r w:rsidRPr="000F3E03">
        <w:rPr>
          <w:rFonts w:ascii="Garamond" w:hAnsi="Garamond"/>
          <w:noProof/>
          <w:lang w:val="fi-FI"/>
        </w:rPr>
        <w:t xml:space="preserve">, </w:t>
      </w:r>
      <w:r w:rsidRPr="000F3E03">
        <w:rPr>
          <w:rFonts w:ascii="Garamond" w:hAnsi="Garamond"/>
          <w:i/>
          <w:iCs/>
          <w:noProof/>
          <w:lang w:val="fi-FI"/>
        </w:rPr>
        <w:t>6</w:t>
      </w:r>
      <w:r w:rsidRPr="000F3E03">
        <w:rPr>
          <w:rFonts w:ascii="Garamond" w:hAnsi="Garamond"/>
          <w:noProof/>
          <w:lang w:val="fi-FI"/>
        </w:rPr>
        <w:t>(12). https://doi.org/10.1016/j.heliyon.2020.e05853</w:t>
      </w:r>
    </w:p>
    <w:p w14:paraId="1ED4FF14" w14:textId="77777777" w:rsidR="00FD03BA" w:rsidRPr="00FD03BA" w:rsidRDefault="00FD03BA" w:rsidP="00FD03BA">
      <w:pPr>
        <w:widowControl w:val="0"/>
        <w:autoSpaceDE w:val="0"/>
        <w:autoSpaceDN w:val="0"/>
        <w:adjustRightInd w:val="0"/>
        <w:ind w:left="480" w:hanging="480"/>
        <w:rPr>
          <w:rFonts w:ascii="Garamond" w:hAnsi="Garamond"/>
          <w:noProof/>
        </w:rPr>
      </w:pPr>
      <w:r w:rsidRPr="000F3E03">
        <w:rPr>
          <w:rFonts w:ascii="Garamond" w:hAnsi="Garamond"/>
          <w:noProof/>
          <w:lang w:val="fi-FI"/>
        </w:rPr>
        <w:t xml:space="preserve">Desli, E., Gkoulgkoutsika, A., &amp; Katrakilidis, C. (2017). </w:t>
      </w:r>
      <w:r w:rsidRPr="00FD03BA">
        <w:rPr>
          <w:rFonts w:ascii="Garamond" w:hAnsi="Garamond"/>
          <w:noProof/>
        </w:rPr>
        <w:t xml:space="preserve">Investigating the Dynamic Interaction between Military Spending and Economic Growth. </w:t>
      </w:r>
      <w:r w:rsidRPr="00FD03BA">
        <w:rPr>
          <w:rFonts w:ascii="Garamond" w:hAnsi="Garamond"/>
          <w:i/>
          <w:iCs/>
          <w:noProof/>
        </w:rPr>
        <w:t>Review of Development Economics</w:t>
      </w:r>
      <w:r w:rsidRPr="00FD03BA">
        <w:rPr>
          <w:rFonts w:ascii="Garamond" w:hAnsi="Garamond"/>
          <w:noProof/>
        </w:rPr>
        <w:t xml:space="preserve">, </w:t>
      </w:r>
      <w:r w:rsidRPr="00FD03BA">
        <w:rPr>
          <w:rFonts w:ascii="Garamond" w:hAnsi="Garamond"/>
          <w:i/>
          <w:iCs/>
          <w:noProof/>
        </w:rPr>
        <w:t>21</w:t>
      </w:r>
      <w:r w:rsidRPr="00FD03BA">
        <w:rPr>
          <w:rFonts w:ascii="Garamond" w:hAnsi="Garamond"/>
          <w:noProof/>
        </w:rPr>
        <w:t>(3), 511–526. https://doi.org/10.1111/rode.12268</w:t>
      </w:r>
    </w:p>
    <w:p w14:paraId="6C4A774F"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Efthalitsidou, K., Zafeiriou, E., Spinthiropoulos, K., Betsas, I., &amp; Sariannidis, N. (2021). GDP and public expenditure in education, health, and defense. Empirical research for Greece. </w:t>
      </w:r>
      <w:r w:rsidRPr="00FD03BA">
        <w:rPr>
          <w:rFonts w:ascii="Garamond" w:hAnsi="Garamond"/>
          <w:i/>
          <w:iCs/>
          <w:noProof/>
        </w:rPr>
        <w:t>Mathematics</w:t>
      </w:r>
      <w:r w:rsidRPr="00FD03BA">
        <w:rPr>
          <w:rFonts w:ascii="Garamond" w:hAnsi="Garamond"/>
          <w:noProof/>
        </w:rPr>
        <w:t xml:space="preserve">, </w:t>
      </w:r>
      <w:r w:rsidRPr="00FD03BA">
        <w:rPr>
          <w:rFonts w:ascii="Garamond" w:hAnsi="Garamond"/>
          <w:i/>
          <w:iCs/>
          <w:noProof/>
        </w:rPr>
        <w:t>9</w:t>
      </w:r>
      <w:r w:rsidRPr="00FD03BA">
        <w:rPr>
          <w:rFonts w:ascii="Garamond" w:hAnsi="Garamond"/>
          <w:noProof/>
        </w:rPr>
        <w:t>(18), 1–17. https://doi.org/10.3390/math9182319</w:t>
      </w:r>
    </w:p>
    <w:p w14:paraId="7FCFF1C1"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Fazal Rehman, S. (2020). Exploring the Long Run Effects and Relationship of Military Expenditures and Economic Growth in the Scenario of Pakistan. </w:t>
      </w:r>
      <w:r w:rsidRPr="00FD03BA">
        <w:rPr>
          <w:rFonts w:ascii="Garamond" w:hAnsi="Garamond"/>
          <w:i/>
          <w:iCs/>
          <w:noProof/>
        </w:rPr>
        <w:t>Bulletin of Business and Economics</w:t>
      </w:r>
      <w:r w:rsidRPr="00FD03BA">
        <w:rPr>
          <w:rFonts w:ascii="Garamond" w:hAnsi="Garamond"/>
          <w:noProof/>
        </w:rPr>
        <w:t xml:space="preserve">, </w:t>
      </w:r>
      <w:r w:rsidRPr="00FD03BA">
        <w:rPr>
          <w:rFonts w:ascii="Garamond" w:hAnsi="Garamond"/>
          <w:i/>
          <w:iCs/>
          <w:noProof/>
        </w:rPr>
        <w:t>9</w:t>
      </w:r>
      <w:r w:rsidRPr="00FD03BA">
        <w:rPr>
          <w:rFonts w:ascii="Garamond" w:hAnsi="Garamond"/>
          <w:noProof/>
        </w:rPr>
        <w:t xml:space="preserve">(3), 106–112. </w:t>
      </w:r>
      <w:r w:rsidRPr="00FD03BA">
        <w:rPr>
          <w:rFonts w:ascii="Garamond" w:hAnsi="Garamond"/>
          <w:noProof/>
        </w:rPr>
        <w:lastRenderedPageBreak/>
        <w:t>https://bbejournal.com/BBE/article/view/120</w:t>
      </w:r>
    </w:p>
    <w:p w14:paraId="677A7438"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Goodhart, L. M., &amp; Xenias, A. (2012). Guns and Money in the Open Economy: The Exchange Rate and the Demand for Arms Imports. </w:t>
      </w:r>
      <w:r w:rsidRPr="00FD03BA">
        <w:rPr>
          <w:rFonts w:ascii="Garamond" w:hAnsi="Garamond"/>
          <w:i/>
          <w:iCs/>
          <w:noProof/>
        </w:rPr>
        <w:t>International Studies Quarterly</w:t>
      </w:r>
      <w:r w:rsidRPr="00FD03BA">
        <w:rPr>
          <w:rFonts w:ascii="Garamond" w:hAnsi="Garamond"/>
          <w:noProof/>
        </w:rPr>
        <w:t xml:space="preserve">, </w:t>
      </w:r>
      <w:r w:rsidRPr="00FD03BA">
        <w:rPr>
          <w:rFonts w:ascii="Garamond" w:hAnsi="Garamond"/>
          <w:i/>
          <w:iCs/>
          <w:noProof/>
        </w:rPr>
        <w:t>56</w:t>
      </w:r>
      <w:r w:rsidRPr="00FD03BA">
        <w:rPr>
          <w:rFonts w:ascii="Garamond" w:hAnsi="Garamond"/>
          <w:noProof/>
        </w:rPr>
        <w:t>(4), 786–792. https://doi.org/10.1111/j.1468-2478.2012.00752.x</w:t>
      </w:r>
    </w:p>
    <w:p w14:paraId="5FC972F7"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Hou, N., &amp; Chen, B. (2013). Military expenditure and economic growth in developing countries: Evidence from system gmm estimates. </w:t>
      </w:r>
      <w:r w:rsidRPr="00FD03BA">
        <w:rPr>
          <w:rFonts w:ascii="Garamond" w:hAnsi="Garamond"/>
          <w:i/>
          <w:iCs/>
          <w:noProof/>
        </w:rPr>
        <w:t>Defence and Peace Economics</w:t>
      </w:r>
      <w:r w:rsidRPr="00FD03BA">
        <w:rPr>
          <w:rFonts w:ascii="Garamond" w:hAnsi="Garamond"/>
          <w:noProof/>
        </w:rPr>
        <w:t xml:space="preserve">, </w:t>
      </w:r>
      <w:r w:rsidRPr="00FD03BA">
        <w:rPr>
          <w:rFonts w:ascii="Garamond" w:hAnsi="Garamond"/>
          <w:i/>
          <w:iCs/>
          <w:noProof/>
        </w:rPr>
        <w:t>24</w:t>
      </w:r>
      <w:r w:rsidRPr="00FD03BA">
        <w:rPr>
          <w:rFonts w:ascii="Garamond" w:hAnsi="Garamond"/>
          <w:noProof/>
        </w:rPr>
        <w:t>(3), 183–193. https://doi.org/10.1080/10242694.2012.710813</w:t>
      </w:r>
    </w:p>
    <w:p w14:paraId="4E4C59C7" w14:textId="77777777" w:rsidR="00FD03BA" w:rsidRPr="000F3E03" w:rsidRDefault="00FD03BA" w:rsidP="00FD03BA">
      <w:pPr>
        <w:widowControl w:val="0"/>
        <w:autoSpaceDE w:val="0"/>
        <w:autoSpaceDN w:val="0"/>
        <w:adjustRightInd w:val="0"/>
        <w:ind w:left="480" w:hanging="480"/>
        <w:rPr>
          <w:rFonts w:ascii="Garamond" w:hAnsi="Garamond"/>
          <w:noProof/>
          <w:lang w:val="fi-FI"/>
        </w:rPr>
      </w:pPr>
      <w:r w:rsidRPr="00FD03BA">
        <w:rPr>
          <w:rFonts w:ascii="Garamond" w:hAnsi="Garamond"/>
          <w:noProof/>
        </w:rPr>
        <w:t xml:space="preserve">Ibon, N. D., &amp; Irfan, M. (2024). Causality Analysis of Military Expenditure and Economic Growth in ASEAN-5 Countries. </w:t>
      </w:r>
      <w:r w:rsidRPr="000F3E03">
        <w:rPr>
          <w:rFonts w:ascii="Garamond" w:hAnsi="Garamond"/>
          <w:i/>
          <w:iCs/>
          <w:noProof/>
          <w:lang w:val="fi-FI"/>
        </w:rPr>
        <w:t>Media Riset Ekonomi Pembangunan (MedREP)</w:t>
      </w:r>
      <w:r w:rsidRPr="000F3E03">
        <w:rPr>
          <w:rFonts w:ascii="Garamond" w:hAnsi="Garamond"/>
          <w:noProof/>
          <w:lang w:val="fi-FI"/>
        </w:rPr>
        <w:t xml:space="preserve">, </w:t>
      </w:r>
      <w:r w:rsidRPr="000F3E03">
        <w:rPr>
          <w:rFonts w:ascii="Garamond" w:hAnsi="Garamond"/>
          <w:i/>
          <w:iCs/>
          <w:noProof/>
          <w:lang w:val="fi-FI"/>
        </w:rPr>
        <w:t>1</w:t>
      </w:r>
      <w:r w:rsidRPr="000F3E03">
        <w:rPr>
          <w:rFonts w:ascii="Garamond" w:hAnsi="Garamond"/>
          <w:noProof/>
          <w:lang w:val="fi-FI"/>
        </w:rPr>
        <w:t>(4), 705–713. https://medrep.ppj.unp.ac.id/index.php/MedREP/login</w:t>
      </w:r>
    </w:p>
    <w:p w14:paraId="621CFE48"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Lobont, O. R., Glont, O. R., Badea, L., &amp; Vatavu, S. (2019). Correlation of military expenditures and economic growth: lessons for Romania. </w:t>
      </w:r>
      <w:r w:rsidRPr="00FD03BA">
        <w:rPr>
          <w:rFonts w:ascii="Garamond" w:hAnsi="Garamond"/>
          <w:i/>
          <w:iCs/>
          <w:noProof/>
        </w:rPr>
        <w:t>Quality and Quantity</w:t>
      </w:r>
      <w:r w:rsidRPr="00FD03BA">
        <w:rPr>
          <w:rFonts w:ascii="Garamond" w:hAnsi="Garamond"/>
          <w:noProof/>
        </w:rPr>
        <w:t xml:space="preserve">, </w:t>
      </w:r>
      <w:r w:rsidRPr="00FD03BA">
        <w:rPr>
          <w:rFonts w:ascii="Garamond" w:hAnsi="Garamond"/>
          <w:i/>
          <w:iCs/>
          <w:noProof/>
        </w:rPr>
        <w:t>53</w:t>
      </w:r>
      <w:r w:rsidRPr="00FD03BA">
        <w:rPr>
          <w:rFonts w:ascii="Garamond" w:hAnsi="Garamond"/>
          <w:noProof/>
        </w:rPr>
        <w:t>(6), 2957–2968. https://doi.org/10.1007/s11135-019-00910-9</w:t>
      </w:r>
    </w:p>
    <w:p w14:paraId="0D540BF1"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Maharani, C., &amp; Matthews, R. (2023). The Role of Offset in the Enduring Gestation of Indonesia’s Strategic Industries. </w:t>
      </w:r>
      <w:r w:rsidRPr="00FD03BA">
        <w:rPr>
          <w:rFonts w:ascii="Garamond" w:hAnsi="Garamond"/>
          <w:i/>
          <w:iCs/>
          <w:noProof/>
        </w:rPr>
        <w:t>Defence and Peace Economics</w:t>
      </w:r>
      <w:r w:rsidRPr="00FD03BA">
        <w:rPr>
          <w:rFonts w:ascii="Garamond" w:hAnsi="Garamond"/>
          <w:noProof/>
        </w:rPr>
        <w:t xml:space="preserve">, </w:t>
      </w:r>
      <w:r w:rsidRPr="00FD03BA">
        <w:rPr>
          <w:rFonts w:ascii="Garamond" w:hAnsi="Garamond"/>
          <w:i/>
          <w:iCs/>
          <w:noProof/>
        </w:rPr>
        <w:t>34</w:t>
      </w:r>
      <w:r w:rsidRPr="00FD03BA">
        <w:rPr>
          <w:rFonts w:ascii="Garamond" w:hAnsi="Garamond"/>
          <w:noProof/>
        </w:rPr>
        <w:t>(7), 981–1002. https://doi.org/10.1080/10242694.2022.2065423</w:t>
      </w:r>
    </w:p>
    <w:p w14:paraId="6C5AD2B9"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Mankiw, G. N. (2009). Macroeconomics. In D. Kasowitz (Ed.), </w:t>
      </w:r>
      <w:r w:rsidRPr="00FD03BA">
        <w:rPr>
          <w:rFonts w:ascii="Garamond" w:hAnsi="Garamond"/>
          <w:i/>
          <w:iCs/>
          <w:noProof/>
        </w:rPr>
        <w:t>Worth Publishers</w:t>
      </w:r>
      <w:r w:rsidRPr="00FD03BA">
        <w:rPr>
          <w:rFonts w:ascii="Garamond" w:hAnsi="Garamond"/>
          <w:noProof/>
        </w:rPr>
        <w:t xml:space="preserve"> (7th ed.). Worth Publisher.</w:t>
      </w:r>
    </w:p>
    <w:p w14:paraId="7352E98E"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Miyamoto, W., Nguyen, T. L., &amp; Sheremirov, V. (2019). The effects of government spending on real exchange rates: Evidence from military spending panel data. </w:t>
      </w:r>
      <w:r w:rsidRPr="00FD03BA">
        <w:rPr>
          <w:rFonts w:ascii="Garamond" w:hAnsi="Garamond"/>
          <w:i/>
          <w:iCs/>
          <w:noProof/>
        </w:rPr>
        <w:t>Journal of International Economics</w:t>
      </w:r>
      <w:r w:rsidRPr="00FD03BA">
        <w:rPr>
          <w:rFonts w:ascii="Garamond" w:hAnsi="Garamond"/>
          <w:noProof/>
        </w:rPr>
        <w:t xml:space="preserve">, </w:t>
      </w:r>
      <w:r w:rsidRPr="00FD03BA">
        <w:rPr>
          <w:rFonts w:ascii="Garamond" w:hAnsi="Garamond"/>
          <w:i/>
          <w:iCs/>
          <w:noProof/>
        </w:rPr>
        <w:t>116</w:t>
      </w:r>
      <w:r w:rsidRPr="00FD03BA">
        <w:rPr>
          <w:rFonts w:ascii="Garamond" w:hAnsi="Garamond"/>
          <w:noProof/>
        </w:rPr>
        <w:t>, 144–157. https://doi.org/10.1016/j.jinteco.2018.11.009</w:t>
      </w:r>
    </w:p>
    <w:p w14:paraId="4ED6F195" w14:textId="77777777" w:rsidR="00FD03BA" w:rsidRPr="000F3E03" w:rsidRDefault="00FD03BA" w:rsidP="00FD03BA">
      <w:pPr>
        <w:widowControl w:val="0"/>
        <w:autoSpaceDE w:val="0"/>
        <w:autoSpaceDN w:val="0"/>
        <w:adjustRightInd w:val="0"/>
        <w:ind w:left="480" w:hanging="480"/>
        <w:rPr>
          <w:rFonts w:ascii="Garamond" w:hAnsi="Garamond"/>
          <w:noProof/>
          <w:lang w:val="fi-FI"/>
        </w:rPr>
      </w:pPr>
      <w:r w:rsidRPr="00FD03BA">
        <w:rPr>
          <w:rFonts w:ascii="Garamond" w:hAnsi="Garamond"/>
          <w:noProof/>
        </w:rPr>
        <w:t xml:space="preserve">Nugroho, D. A., &amp; Purwanti, E. Y. (2021). Impact of Military Expenditure on Economic Growth Encouraging or Constraining? </w:t>
      </w:r>
      <w:r w:rsidRPr="000F3E03">
        <w:rPr>
          <w:rFonts w:ascii="Garamond" w:hAnsi="Garamond"/>
          <w:i/>
          <w:iCs/>
          <w:noProof/>
          <w:lang w:val="fi-FI"/>
        </w:rPr>
        <w:t>Jejak</w:t>
      </w:r>
      <w:r w:rsidRPr="000F3E03">
        <w:rPr>
          <w:rFonts w:ascii="Garamond" w:hAnsi="Garamond"/>
          <w:noProof/>
          <w:lang w:val="fi-FI"/>
        </w:rPr>
        <w:t xml:space="preserve">, </w:t>
      </w:r>
      <w:r w:rsidRPr="000F3E03">
        <w:rPr>
          <w:rFonts w:ascii="Garamond" w:hAnsi="Garamond"/>
          <w:i/>
          <w:iCs/>
          <w:noProof/>
          <w:lang w:val="fi-FI"/>
        </w:rPr>
        <w:t>14</w:t>
      </w:r>
      <w:r w:rsidRPr="000F3E03">
        <w:rPr>
          <w:rFonts w:ascii="Garamond" w:hAnsi="Garamond"/>
          <w:noProof/>
          <w:lang w:val="fi-FI"/>
        </w:rPr>
        <w:t>(1), 9–20. https://doi.org/10.15294/jejak.v14i1.26062</w:t>
      </w:r>
    </w:p>
    <w:p w14:paraId="26FECADB" w14:textId="77777777" w:rsidR="00FD03BA" w:rsidRPr="00FD03BA" w:rsidRDefault="00FD03BA" w:rsidP="00FD03BA">
      <w:pPr>
        <w:widowControl w:val="0"/>
        <w:autoSpaceDE w:val="0"/>
        <w:autoSpaceDN w:val="0"/>
        <w:adjustRightInd w:val="0"/>
        <w:ind w:left="480" w:hanging="480"/>
        <w:rPr>
          <w:rFonts w:ascii="Garamond" w:hAnsi="Garamond"/>
          <w:noProof/>
        </w:rPr>
      </w:pPr>
      <w:r w:rsidRPr="000F3E03">
        <w:rPr>
          <w:rFonts w:ascii="Garamond" w:hAnsi="Garamond"/>
          <w:noProof/>
          <w:lang w:val="fi-FI"/>
        </w:rPr>
        <w:t xml:space="preserve">Pandia, K. V., Sutrasna, Y., &amp; Navalino, D. A. (2022). </w:t>
      </w:r>
      <w:r w:rsidRPr="00FD03BA">
        <w:rPr>
          <w:rFonts w:ascii="Garamond" w:hAnsi="Garamond"/>
          <w:noProof/>
        </w:rPr>
        <w:t xml:space="preserve">THE EFFECT OF THE STATE BUDGET, GROSS DOMESTIC PRODUCT, AND ECONOMIC GROWTH ON THE DEFENSE BUDGET FOR THE 2010-2020 FISCAL YEAR. </w:t>
      </w:r>
      <w:r w:rsidRPr="00FD03BA">
        <w:rPr>
          <w:rFonts w:ascii="Garamond" w:hAnsi="Garamond"/>
          <w:i/>
          <w:iCs/>
          <w:noProof/>
        </w:rPr>
        <w:t>Jurnal Inovasi Penelitian</w:t>
      </w:r>
      <w:r w:rsidRPr="00FD03BA">
        <w:rPr>
          <w:rFonts w:ascii="Garamond" w:hAnsi="Garamond"/>
          <w:noProof/>
        </w:rPr>
        <w:t xml:space="preserve">, </w:t>
      </w:r>
      <w:r w:rsidRPr="00FD03BA">
        <w:rPr>
          <w:rFonts w:ascii="Garamond" w:hAnsi="Garamond"/>
          <w:i/>
          <w:iCs/>
          <w:noProof/>
        </w:rPr>
        <w:t>2</w:t>
      </w:r>
      <w:r w:rsidRPr="00FD03BA">
        <w:rPr>
          <w:rFonts w:ascii="Garamond" w:hAnsi="Garamond"/>
          <w:noProof/>
        </w:rPr>
        <w:t>(8), 2769–2782.</w:t>
      </w:r>
    </w:p>
    <w:p w14:paraId="17B8F25A"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Putra, B. R., Yeniwati, &amp; Adry, R. M. (2019). Causality Analysis of Defense Spending and Economic Growth in Indonesia. </w:t>
      </w:r>
      <w:r w:rsidRPr="00FD03BA">
        <w:rPr>
          <w:rFonts w:ascii="Garamond" w:hAnsi="Garamond"/>
          <w:i/>
          <w:iCs/>
          <w:noProof/>
        </w:rPr>
        <w:t>Jurnal Ecosains,</w:t>
      </w:r>
      <w:r w:rsidRPr="00FD03BA">
        <w:rPr>
          <w:rFonts w:ascii="Garamond" w:hAnsi="Garamond"/>
          <w:noProof/>
        </w:rPr>
        <w:t xml:space="preserve"> </w:t>
      </w:r>
      <w:r w:rsidRPr="00FD03BA">
        <w:rPr>
          <w:rFonts w:ascii="Garamond" w:hAnsi="Garamond"/>
          <w:i/>
          <w:iCs/>
          <w:noProof/>
        </w:rPr>
        <w:t>8</w:t>
      </w:r>
      <w:r w:rsidRPr="00FD03BA">
        <w:rPr>
          <w:rFonts w:ascii="Garamond" w:hAnsi="Garamond"/>
          <w:noProof/>
        </w:rPr>
        <w:t>(2), 177–184. http://digilib.unila.ac.id/4949/15/BAB II.pdf</w:t>
      </w:r>
    </w:p>
    <w:p w14:paraId="2D36226A" w14:textId="77777777" w:rsidR="00FD03BA" w:rsidRPr="00FD03BA" w:rsidRDefault="00FD03BA" w:rsidP="00FD03BA">
      <w:pPr>
        <w:widowControl w:val="0"/>
        <w:autoSpaceDE w:val="0"/>
        <w:autoSpaceDN w:val="0"/>
        <w:adjustRightInd w:val="0"/>
        <w:ind w:left="480" w:hanging="480"/>
        <w:rPr>
          <w:rFonts w:ascii="Garamond" w:hAnsi="Garamond"/>
          <w:noProof/>
        </w:rPr>
      </w:pPr>
      <w:r w:rsidRPr="00FD03BA">
        <w:rPr>
          <w:rFonts w:ascii="Garamond" w:hAnsi="Garamond"/>
          <w:noProof/>
        </w:rPr>
        <w:t xml:space="preserve">Saba, C. S., &amp; Ngepah, N. (2019). A cross-regional analysis of military expenditure, state fragility and economic growth in Africa. In </w:t>
      </w:r>
      <w:r w:rsidRPr="00FD03BA">
        <w:rPr>
          <w:rFonts w:ascii="Garamond" w:hAnsi="Garamond"/>
          <w:i/>
          <w:iCs/>
          <w:noProof/>
        </w:rPr>
        <w:t>Quality and Quantity</w:t>
      </w:r>
      <w:r w:rsidRPr="00FD03BA">
        <w:rPr>
          <w:rFonts w:ascii="Garamond" w:hAnsi="Garamond"/>
          <w:noProof/>
        </w:rPr>
        <w:t xml:space="preserve"> (Vol. 53, Issue 6, pp. 2885–2915). https://doi.org/10.1007/s11135-019-00905-6</w:t>
      </w:r>
    </w:p>
    <w:p w14:paraId="10D30D6F" w14:textId="77777777" w:rsidR="00FD03BA" w:rsidRPr="00FD03BA" w:rsidRDefault="00FD03BA" w:rsidP="00FD03BA">
      <w:pPr>
        <w:widowControl w:val="0"/>
        <w:autoSpaceDE w:val="0"/>
        <w:autoSpaceDN w:val="0"/>
        <w:adjustRightInd w:val="0"/>
        <w:ind w:left="480" w:hanging="480"/>
        <w:rPr>
          <w:rFonts w:ascii="Garamond" w:hAnsi="Garamond"/>
          <w:noProof/>
        </w:rPr>
      </w:pPr>
      <w:r w:rsidRPr="000F3E03">
        <w:rPr>
          <w:rFonts w:ascii="Garamond" w:hAnsi="Garamond"/>
          <w:noProof/>
          <w:lang w:val="fi-FI"/>
        </w:rPr>
        <w:t xml:space="preserve">Selvanathan, S., &amp; Selvanathan, E. A. (2014). </w:t>
      </w:r>
      <w:r w:rsidRPr="00FD03BA">
        <w:rPr>
          <w:rFonts w:ascii="Garamond" w:hAnsi="Garamond"/>
          <w:noProof/>
        </w:rPr>
        <w:t xml:space="preserve">Defence expenditure and economic growth: a case study of sri lanka using causality analysis. </w:t>
      </w:r>
      <w:r w:rsidRPr="00FD03BA">
        <w:rPr>
          <w:rFonts w:ascii="Garamond" w:hAnsi="Garamond"/>
          <w:i/>
          <w:iCs/>
          <w:noProof/>
        </w:rPr>
        <w:t>International Journal of Development and Conflict</w:t>
      </w:r>
      <w:r w:rsidRPr="00FD03BA">
        <w:rPr>
          <w:rFonts w:ascii="Garamond" w:hAnsi="Garamond"/>
          <w:noProof/>
        </w:rPr>
        <w:t xml:space="preserve">, </w:t>
      </w:r>
      <w:r w:rsidRPr="00FD03BA">
        <w:rPr>
          <w:rFonts w:ascii="Garamond" w:hAnsi="Garamond"/>
          <w:i/>
          <w:iCs/>
          <w:noProof/>
        </w:rPr>
        <w:t>4</w:t>
      </w:r>
      <w:r w:rsidRPr="00FD03BA">
        <w:rPr>
          <w:rFonts w:ascii="Garamond" w:hAnsi="Garamond"/>
          <w:noProof/>
        </w:rPr>
        <w:t>, 69–76.</w:t>
      </w:r>
    </w:p>
    <w:p w14:paraId="0BB71566" w14:textId="77777777" w:rsidR="00FD03BA" w:rsidRPr="000F3E03" w:rsidRDefault="00FD03BA" w:rsidP="00FD03BA">
      <w:pPr>
        <w:widowControl w:val="0"/>
        <w:autoSpaceDE w:val="0"/>
        <w:autoSpaceDN w:val="0"/>
        <w:adjustRightInd w:val="0"/>
        <w:ind w:left="480" w:hanging="480"/>
        <w:rPr>
          <w:rFonts w:ascii="Garamond" w:hAnsi="Garamond"/>
          <w:noProof/>
          <w:lang w:val="fi-FI"/>
        </w:rPr>
      </w:pPr>
      <w:r w:rsidRPr="00FD03BA">
        <w:rPr>
          <w:rFonts w:ascii="Garamond" w:hAnsi="Garamond"/>
          <w:noProof/>
        </w:rPr>
        <w:t xml:space="preserve">Soelistyo, A. (2023). How Strongly Does Military Expenditure Impact Economic Growth and the Exchange Rate? </w:t>
      </w:r>
      <w:r w:rsidRPr="000F3E03">
        <w:rPr>
          <w:rFonts w:ascii="Garamond" w:hAnsi="Garamond"/>
          <w:i/>
          <w:iCs/>
          <w:noProof/>
          <w:lang w:val="fi-FI"/>
        </w:rPr>
        <w:t>Jurnal Ilmiah Bisnis Dan Ekonomi Asia</w:t>
      </w:r>
      <w:r w:rsidRPr="000F3E03">
        <w:rPr>
          <w:rFonts w:ascii="Garamond" w:hAnsi="Garamond"/>
          <w:noProof/>
          <w:lang w:val="fi-FI"/>
        </w:rPr>
        <w:t xml:space="preserve">, </w:t>
      </w:r>
      <w:r w:rsidRPr="000F3E03">
        <w:rPr>
          <w:rFonts w:ascii="Garamond" w:hAnsi="Garamond"/>
          <w:i/>
          <w:iCs/>
          <w:noProof/>
          <w:lang w:val="fi-FI"/>
        </w:rPr>
        <w:t>17</w:t>
      </w:r>
      <w:r w:rsidRPr="000F3E03">
        <w:rPr>
          <w:rFonts w:ascii="Garamond" w:hAnsi="Garamond"/>
          <w:noProof/>
          <w:lang w:val="fi-FI"/>
        </w:rPr>
        <w:t>(3), 266–278. https://doi.org/10.32815/jibeka.v17i3.1177</w:t>
      </w:r>
    </w:p>
    <w:p w14:paraId="09BC94C4" w14:textId="77777777" w:rsidR="00FD03BA" w:rsidRPr="00FD03BA" w:rsidRDefault="00FD03BA" w:rsidP="00FD03BA">
      <w:pPr>
        <w:widowControl w:val="0"/>
        <w:autoSpaceDE w:val="0"/>
        <w:autoSpaceDN w:val="0"/>
        <w:adjustRightInd w:val="0"/>
        <w:ind w:left="480" w:hanging="480"/>
        <w:rPr>
          <w:rFonts w:ascii="Garamond" w:hAnsi="Garamond"/>
          <w:noProof/>
        </w:rPr>
      </w:pPr>
      <w:r w:rsidRPr="000F3E03">
        <w:rPr>
          <w:rFonts w:ascii="Garamond" w:hAnsi="Garamond"/>
          <w:noProof/>
          <w:lang w:val="fi-FI"/>
        </w:rPr>
        <w:t xml:space="preserve">Susilo, A. K., Sari, D. W., Putra, I. N., &amp; Pratiwi, N. A. (2022). </w:t>
      </w:r>
      <w:r w:rsidRPr="00FD03BA">
        <w:rPr>
          <w:rFonts w:ascii="Garamond" w:hAnsi="Garamond"/>
          <w:noProof/>
        </w:rPr>
        <w:t xml:space="preserve">Economic Growth and Military Expenditure in Developing Countries During Covid-19 Pandemic. </w:t>
      </w:r>
      <w:r w:rsidRPr="00FD03BA">
        <w:rPr>
          <w:rFonts w:ascii="Garamond" w:hAnsi="Garamond"/>
          <w:i/>
          <w:iCs/>
          <w:noProof/>
        </w:rPr>
        <w:t>Applied Econometrics and International Development</w:t>
      </w:r>
      <w:r w:rsidRPr="00FD03BA">
        <w:rPr>
          <w:rFonts w:ascii="Garamond" w:hAnsi="Garamond"/>
          <w:noProof/>
        </w:rPr>
        <w:t xml:space="preserve">, </w:t>
      </w:r>
      <w:r w:rsidRPr="00FD03BA">
        <w:rPr>
          <w:rFonts w:ascii="Garamond" w:hAnsi="Garamond"/>
          <w:i/>
          <w:iCs/>
          <w:noProof/>
        </w:rPr>
        <w:t>22</w:t>
      </w:r>
      <w:r w:rsidRPr="00FD03BA">
        <w:rPr>
          <w:rFonts w:ascii="Garamond" w:hAnsi="Garamond"/>
          <w:noProof/>
        </w:rPr>
        <w:t>(1), 19–38.</w:t>
      </w:r>
    </w:p>
    <w:p w14:paraId="24B0A13B" w14:textId="6A3DBFCD" w:rsidR="00B315F0" w:rsidRPr="000A725F" w:rsidRDefault="00765D87" w:rsidP="0054120A">
      <w:pPr>
        <w:contextualSpacing/>
        <w:jc w:val="both"/>
        <w:rPr>
          <w:rFonts w:ascii="Garamond" w:hAnsi="Garamond"/>
          <w:b/>
          <w:bCs/>
        </w:rPr>
      </w:pPr>
      <w:r>
        <w:rPr>
          <w:rFonts w:ascii="Garamond" w:hAnsi="Garamond"/>
          <w:b/>
          <w:bCs/>
        </w:rPr>
        <w:fldChar w:fldCharType="end"/>
      </w:r>
    </w:p>
    <w:sectPr w:rsidR="00B315F0" w:rsidRPr="000A725F" w:rsidSect="00F06D5B">
      <w:headerReference w:type="default" r:id="rId12"/>
      <w:footerReference w:type="even" r:id="rId13"/>
      <w:footerReference w:type="default" r:id="rId14"/>
      <w:headerReference w:type="first" r:id="rId15"/>
      <w:footerReference w:type="first" r:id="rId16"/>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8B673" w14:textId="77777777" w:rsidR="005168C5" w:rsidRDefault="005168C5" w:rsidP="00840130">
      <w:r>
        <w:separator/>
      </w:r>
    </w:p>
  </w:endnote>
  <w:endnote w:type="continuationSeparator" w:id="0">
    <w:p w14:paraId="77A6B131" w14:textId="77777777" w:rsidR="005168C5" w:rsidRDefault="005168C5"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4F63D003" w14:textId="5D26C449" w:rsidR="00BD6193" w:rsidRPr="003F3B27" w:rsidRDefault="00BD6193" w:rsidP="003F3B27">
        <w:pPr>
          <w:pStyle w:val="Footer"/>
          <w:rPr>
            <w:lang w:val="id-ID"/>
          </w:rPr>
        </w:pPr>
        <w:r>
          <w:rPr>
            <w:lang w:val="id-ID"/>
          </w:rPr>
          <w:t xml:space="preserve">Volume </w:t>
        </w:r>
        <w:r>
          <w:t xml:space="preserve">4 </w:t>
        </w:r>
        <w:r>
          <w:rPr>
            <w:lang w:val="id-ID"/>
          </w:rPr>
          <w:t xml:space="preserve">, Issue </w:t>
        </w:r>
        <w:r w:rsidR="00492D4C">
          <w:t>2</w:t>
        </w:r>
        <w:r>
          <w:t xml:space="preserve"> </w:t>
        </w:r>
        <w:r>
          <w:rPr>
            <w:lang w:val="id-ID"/>
          </w:rPr>
          <w:t xml:space="preserve">available at </w:t>
        </w:r>
        <w:r w:rsidR="003635E1" w:rsidRPr="003635E1">
          <w:rPr>
            <w:lang w:val="id-ID"/>
          </w:rPr>
          <w:t>https://journal.privietlab.org/index.php/JEBL</w:t>
        </w:r>
      </w:p>
    </w:sdtContent>
  </w:sdt>
  <w:p w14:paraId="684BAA77" w14:textId="77777777" w:rsidR="00BD6193" w:rsidRDefault="00BD6193"/>
  <w:p w14:paraId="45F0B071" w14:textId="77777777" w:rsidR="00AA25DB" w:rsidRDefault="00AA25DB"/>
  <w:p w14:paraId="023F0538" w14:textId="77777777" w:rsidR="00AA25DB" w:rsidRDefault="00AA25DB"/>
  <w:p w14:paraId="1D58A965" w14:textId="77777777" w:rsidR="00AA25DB" w:rsidRDefault="00AA2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31BB688D"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hyperlink r:id="rId3" w:history="1">
      <w:r w:rsidR="00C853C2" w:rsidRPr="00C853C2">
        <w:rPr>
          <w:rStyle w:val="Hyperlink"/>
          <w:color w:val="auto"/>
          <w:u w:val="none"/>
        </w:rPr>
        <w:t>Journal of Economics and Business Letters</w:t>
      </w:r>
    </w:hyperlink>
    <w:r w:rsidR="00C853C2" w:rsidRPr="00C853C2">
      <w:t> is licensed under a </w:t>
    </w:r>
    <w:hyperlink r:id="rId4" w:history="1">
      <w:r w:rsidR="00C853C2"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5B47" w14:textId="77777777" w:rsidR="005168C5" w:rsidRDefault="005168C5" w:rsidP="00840130">
      <w:r>
        <w:separator/>
      </w:r>
    </w:p>
  </w:footnote>
  <w:footnote w:type="continuationSeparator" w:id="0">
    <w:p w14:paraId="699F55E3" w14:textId="77777777" w:rsidR="005168C5" w:rsidRDefault="005168C5"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312B8596" w:rsidR="00AA25DB" w:rsidRPr="003635E1" w:rsidRDefault="003635E1" w:rsidP="003635E1">
    <w:pPr>
      <w:pStyle w:val="Header"/>
    </w:pPr>
    <w:r w:rsidRPr="003635E1">
      <w:rPr>
        <w:rFonts w:ascii="Garamond" w:hAnsi="Garamond"/>
        <w:b/>
        <w:bCs/>
        <w:i/>
        <w:iCs/>
        <w:lang w:val="id-ID"/>
      </w:rPr>
      <w:t>Journal of Economics and Business Letters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75D3" w14:textId="714F6B85" w:rsidR="00BD6193" w:rsidRPr="000A725F" w:rsidRDefault="003635E1" w:rsidP="00CF0408">
    <w:pPr>
      <w:pStyle w:val="Header"/>
      <w:rPr>
        <w:rFonts w:ascii="Garamond" w:hAnsi="Garamond"/>
        <w:b/>
        <w:bCs/>
        <w:i/>
        <w:iCs/>
      </w:rPr>
    </w:pPr>
    <w:r w:rsidRPr="003635E1">
      <w:rPr>
        <w:rFonts w:ascii="Garamond" w:hAnsi="Garamond"/>
        <w:b/>
        <w:bCs/>
        <w:i/>
        <w:iCs/>
        <w:lang w:val="id-ID"/>
      </w:rPr>
      <w:t>Journal of Economics and Business Letters</w:t>
    </w:r>
    <w:r w:rsidR="00BD6193" w:rsidRPr="000A725F">
      <w:rPr>
        <w:rFonts w:ascii="Garamond" w:hAnsi="Garamond"/>
        <w:b/>
        <w:bCs/>
        <w:i/>
        <w:iCs/>
        <w:lang w:val="id-ID"/>
      </w:rPr>
      <w:t xml:space="preserve"> </w:t>
    </w:r>
    <w:r w:rsidR="00BD6193" w:rsidRPr="000A725F">
      <w:rPr>
        <w:rFonts w:ascii="Garamond" w:hAnsi="Garamond"/>
        <w:lang w:val="id-ID"/>
      </w:rPr>
      <w:tab/>
    </w:r>
    <w:r>
      <w:rPr>
        <w:rFonts w:ascii="Garamond" w:hAnsi="Garamond"/>
        <w:lang w:val="id-ID"/>
      </w:rPr>
      <w:tab/>
    </w:r>
    <w:r w:rsidR="00BD6193" w:rsidRPr="000A725F">
      <w:rPr>
        <w:rFonts w:ascii="Garamond" w:hAnsi="Garamond"/>
        <w:lang w:val="id-ID"/>
      </w:rPr>
      <w:t xml:space="preserve">Volume </w:t>
    </w:r>
    <w:r w:rsidR="00BD6193" w:rsidRPr="000A725F">
      <w:rPr>
        <w:rFonts w:ascii="Garamond" w:hAnsi="Garamond"/>
      </w:rPr>
      <w:t>4</w:t>
    </w:r>
  </w:p>
  <w:p w14:paraId="41FBDC92" w14:textId="156977C4" w:rsidR="00BD6193" w:rsidRPr="000A725F" w:rsidRDefault="00BD6193" w:rsidP="00CF0408">
    <w:pPr>
      <w:pStyle w:val="Header"/>
      <w:rPr>
        <w:rFonts w:ascii="Garamond" w:hAnsi="Garamond"/>
      </w:rPr>
    </w:pPr>
    <w:r w:rsidRPr="000A725F">
      <w:rPr>
        <w:rFonts w:ascii="Garamond" w:hAnsi="Garamond"/>
        <w:lang w:val="id-ID"/>
      </w:rPr>
      <w:t xml:space="preserve">E-ISSN 2686-6056 </w:t>
    </w:r>
    <w:r w:rsidRPr="000A725F">
      <w:rPr>
        <w:rFonts w:ascii="Garamond" w:hAnsi="Garamond"/>
        <w:lang w:val="id-ID"/>
      </w:rPr>
      <w:tab/>
    </w:r>
    <w:r w:rsidRPr="000A725F">
      <w:rPr>
        <w:rFonts w:ascii="Garamond" w:hAnsi="Garamond"/>
        <w:lang w:val="id-ID"/>
      </w:rPr>
      <w:tab/>
      <w:t xml:space="preserve">Issue </w:t>
    </w:r>
    <w:r w:rsidR="00492D4C">
      <w:rPr>
        <w:rFonts w:ascii="Garamond" w:hAnsi="Garamond"/>
      </w:rPr>
      <w:t>2</w:t>
    </w:r>
  </w:p>
  <w:p w14:paraId="76499A5D" w14:textId="6C46A06E" w:rsidR="00BD6193" w:rsidRPr="000A725F" w:rsidRDefault="003635E1" w:rsidP="00CF0408">
    <w:pPr>
      <w:pStyle w:val="Header"/>
      <w:rPr>
        <w:rFonts w:ascii="Garamond" w:hAnsi="Garamond"/>
      </w:rPr>
    </w:pPr>
    <w:r>
      <w:rPr>
        <w:rFonts w:ascii="Garamond" w:hAnsi="Garamond"/>
        <w:lang w:val="id-ID"/>
      </w:rPr>
      <w:t xml:space="preserve">P-ISSN </w:t>
    </w:r>
    <w:r w:rsidRPr="003635E1">
      <w:rPr>
        <w:rFonts w:ascii="Garamond" w:hAnsi="Garamond"/>
        <w:lang w:val="id-ID"/>
      </w:rPr>
      <w:t>2798-8651</w:t>
    </w:r>
    <w:r w:rsidR="00BD6193" w:rsidRPr="000A725F">
      <w:rPr>
        <w:rFonts w:ascii="Garamond" w:hAnsi="Garamond"/>
        <w:lang w:val="id-ID"/>
      </w:rPr>
      <w:tab/>
    </w:r>
    <w:r w:rsidR="00BD6193" w:rsidRPr="000A725F">
      <w:rPr>
        <w:rFonts w:ascii="Garamond" w:hAnsi="Garamond"/>
        <w:lang w:val="id-ID"/>
      </w:rPr>
      <w:tab/>
    </w:r>
    <w:r w:rsidR="00492D4C">
      <w:rPr>
        <w:rFonts w:ascii="Garamond" w:hAnsi="Garamond"/>
      </w:rPr>
      <w:t>April</w:t>
    </w:r>
    <w:r w:rsidR="00BD6193" w:rsidRPr="000A725F">
      <w:rPr>
        <w:rFonts w:ascii="Garamond" w:hAnsi="Garamond"/>
      </w:rPr>
      <w:t xml:space="preserve"> </w:t>
    </w:r>
    <w:r w:rsidR="00BD6193" w:rsidRPr="000A725F">
      <w:rPr>
        <w:rFonts w:ascii="Garamond" w:hAnsi="Garamond"/>
        <w:lang w:val="id-ID"/>
      </w:rPr>
      <w:t>Edition 202</w:t>
    </w:r>
    <w:r w:rsidR="00601FD2">
      <w:rPr>
        <w:rFonts w:ascii="Garamond" w:hAnsi="Garamond"/>
      </w:rPr>
      <w:t>4</w:t>
    </w:r>
  </w:p>
  <w:p w14:paraId="12E623E0" w14:textId="77777777" w:rsidR="00BD6193" w:rsidRPr="000A725F" w:rsidRDefault="00BD6193" w:rsidP="00CF0408">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3EA"/>
    <w:multiLevelType w:val="hybridMultilevel"/>
    <w:tmpl w:val="48F8D436"/>
    <w:lvl w:ilvl="0" w:tplc="3FBA24EE">
      <w:start w:val="1"/>
      <w:numFmt w:val="decimal"/>
      <w:lvlText w:val="%1."/>
      <w:lvlJc w:val="left"/>
      <w:pPr>
        <w:ind w:left="720" w:hanging="360"/>
      </w:pPr>
      <w:rPr>
        <w:rFonts w:hint="default"/>
      </w:rPr>
    </w:lvl>
    <w:lvl w:ilvl="1" w:tplc="1DF0F32A" w:tentative="1">
      <w:start w:val="1"/>
      <w:numFmt w:val="lowerLetter"/>
      <w:lvlText w:val="%2."/>
      <w:lvlJc w:val="left"/>
      <w:pPr>
        <w:ind w:left="1440" w:hanging="360"/>
      </w:pPr>
    </w:lvl>
    <w:lvl w:ilvl="2" w:tplc="31A0435E" w:tentative="1">
      <w:start w:val="1"/>
      <w:numFmt w:val="lowerRoman"/>
      <w:lvlText w:val="%3."/>
      <w:lvlJc w:val="right"/>
      <w:pPr>
        <w:ind w:left="2160" w:hanging="180"/>
      </w:pPr>
    </w:lvl>
    <w:lvl w:ilvl="3" w:tplc="DAD0107A" w:tentative="1">
      <w:start w:val="1"/>
      <w:numFmt w:val="decimal"/>
      <w:lvlText w:val="%4."/>
      <w:lvlJc w:val="left"/>
      <w:pPr>
        <w:ind w:left="2880" w:hanging="360"/>
      </w:pPr>
    </w:lvl>
    <w:lvl w:ilvl="4" w:tplc="6D36539A" w:tentative="1">
      <w:start w:val="1"/>
      <w:numFmt w:val="lowerLetter"/>
      <w:lvlText w:val="%5."/>
      <w:lvlJc w:val="left"/>
      <w:pPr>
        <w:ind w:left="3600" w:hanging="360"/>
      </w:pPr>
    </w:lvl>
    <w:lvl w:ilvl="5" w:tplc="98A09A26" w:tentative="1">
      <w:start w:val="1"/>
      <w:numFmt w:val="lowerRoman"/>
      <w:lvlText w:val="%6."/>
      <w:lvlJc w:val="right"/>
      <w:pPr>
        <w:ind w:left="4320" w:hanging="180"/>
      </w:pPr>
    </w:lvl>
    <w:lvl w:ilvl="6" w:tplc="1AEC4C0C" w:tentative="1">
      <w:start w:val="1"/>
      <w:numFmt w:val="decimal"/>
      <w:lvlText w:val="%7."/>
      <w:lvlJc w:val="left"/>
      <w:pPr>
        <w:ind w:left="5040" w:hanging="360"/>
      </w:pPr>
    </w:lvl>
    <w:lvl w:ilvl="7" w:tplc="B58081A0" w:tentative="1">
      <w:start w:val="1"/>
      <w:numFmt w:val="lowerLetter"/>
      <w:lvlText w:val="%8."/>
      <w:lvlJc w:val="left"/>
      <w:pPr>
        <w:ind w:left="5760" w:hanging="360"/>
      </w:pPr>
    </w:lvl>
    <w:lvl w:ilvl="8" w:tplc="73726DC4" w:tentative="1">
      <w:start w:val="1"/>
      <w:numFmt w:val="lowerRoman"/>
      <w:lvlText w:val="%9."/>
      <w:lvlJc w:val="right"/>
      <w:pPr>
        <w:ind w:left="6480" w:hanging="180"/>
      </w:pPr>
    </w:lvl>
  </w:abstractNum>
  <w:abstractNum w:abstractNumId="1" w15:restartNumberingAfterBreak="0">
    <w:nsid w:val="02952ED4"/>
    <w:multiLevelType w:val="multilevel"/>
    <w:tmpl w:val="671C1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F1FAA"/>
    <w:multiLevelType w:val="multilevel"/>
    <w:tmpl w:val="D80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4739"/>
    <w:multiLevelType w:val="hybridMultilevel"/>
    <w:tmpl w:val="944CC39C"/>
    <w:lvl w:ilvl="0" w:tplc="827C702A">
      <w:start w:val="1"/>
      <w:numFmt w:val="decimal"/>
      <w:lvlText w:val="%1."/>
      <w:lvlJc w:val="left"/>
      <w:pPr>
        <w:ind w:left="947" w:hanging="360"/>
      </w:pPr>
      <w:rPr>
        <w:rFonts w:hint="default"/>
        <w:sz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15:restartNumberingAfterBreak="0">
    <w:nsid w:val="083B7D2D"/>
    <w:multiLevelType w:val="hybridMultilevel"/>
    <w:tmpl w:val="1D580F14"/>
    <w:lvl w:ilvl="0" w:tplc="1FC2A66E">
      <w:start w:val="2"/>
      <w:numFmt w:val="bullet"/>
      <w:lvlText w:val="-"/>
      <w:lvlJc w:val="left"/>
      <w:pPr>
        <w:ind w:left="1800" w:hanging="360"/>
      </w:pPr>
      <w:rPr>
        <w:rFonts w:ascii="Times New Roman" w:eastAsia="Times New Roman" w:hAnsi="Times New Roman" w:cs="Times New Roman" w:hint="default"/>
        <w:sz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E644F5"/>
    <w:multiLevelType w:val="hybridMultilevel"/>
    <w:tmpl w:val="4116538A"/>
    <w:lvl w:ilvl="0" w:tplc="48CC2874">
      <w:start w:val="1"/>
      <w:numFmt w:val="decimal"/>
      <w:lvlText w:val="%1."/>
      <w:lvlJc w:val="left"/>
      <w:pPr>
        <w:ind w:left="947" w:hanging="360"/>
      </w:pPr>
      <w:rPr>
        <w:rFonts w:ascii="Times New Roman" w:hAnsi="Times New Roman" w:hint="default"/>
        <w:sz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6" w15:restartNumberingAfterBreak="0">
    <w:nsid w:val="0C2E75D3"/>
    <w:multiLevelType w:val="hybridMultilevel"/>
    <w:tmpl w:val="631CA7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48022FE"/>
    <w:multiLevelType w:val="multilevel"/>
    <w:tmpl w:val="276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77D35"/>
    <w:multiLevelType w:val="multilevel"/>
    <w:tmpl w:val="81E21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70AAC"/>
    <w:multiLevelType w:val="hybridMultilevel"/>
    <w:tmpl w:val="0486C1D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0139C1"/>
    <w:multiLevelType w:val="hybridMultilevel"/>
    <w:tmpl w:val="2ECEF71E"/>
    <w:lvl w:ilvl="0" w:tplc="300CCB78">
      <w:start w:val="1"/>
      <w:numFmt w:val="lowerLetter"/>
      <w:lvlText w:val="%1."/>
      <w:lvlJc w:val="left"/>
      <w:pPr>
        <w:ind w:left="425" w:hanging="360"/>
      </w:pPr>
      <w:rPr>
        <w:rFonts w:hint="default"/>
        <w:sz w:val="24"/>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1" w15:restartNumberingAfterBreak="0">
    <w:nsid w:val="17432CC7"/>
    <w:multiLevelType w:val="multilevel"/>
    <w:tmpl w:val="3476E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D0706"/>
    <w:multiLevelType w:val="hybridMultilevel"/>
    <w:tmpl w:val="ADA4F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95321C"/>
    <w:multiLevelType w:val="hybridMultilevel"/>
    <w:tmpl w:val="680E4CB8"/>
    <w:lvl w:ilvl="0" w:tplc="23025014">
      <w:start w:val="1"/>
      <w:numFmt w:val="decimal"/>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4" w15:restartNumberingAfterBreak="0">
    <w:nsid w:val="19F45E94"/>
    <w:multiLevelType w:val="hybridMultilevel"/>
    <w:tmpl w:val="C9ECD59C"/>
    <w:lvl w:ilvl="0" w:tplc="63CAA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153D59"/>
    <w:multiLevelType w:val="hybridMultilevel"/>
    <w:tmpl w:val="BA94652A"/>
    <w:lvl w:ilvl="0" w:tplc="78CCC6EE">
      <w:start w:val="1"/>
      <w:numFmt w:val="decimal"/>
      <w:lvlText w:val="%1."/>
      <w:lvlJc w:val="left"/>
      <w:pPr>
        <w:ind w:left="1080" w:hanging="360"/>
      </w:pPr>
      <w:rPr>
        <w:rFonts w:hint="default"/>
      </w:rPr>
    </w:lvl>
    <w:lvl w:ilvl="1" w:tplc="1C8817B2" w:tentative="1">
      <w:start w:val="1"/>
      <w:numFmt w:val="lowerLetter"/>
      <w:lvlText w:val="%2."/>
      <w:lvlJc w:val="left"/>
      <w:pPr>
        <w:ind w:left="1800" w:hanging="360"/>
      </w:pPr>
    </w:lvl>
    <w:lvl w:ilvl="2" w:tplc="8D381692" w:tentative="1">
      <w:start w:val="1"/>
      <w:numFmt w:val="lowerRoman"/>
      <w:lvlText w:val="%3."/>
      <w:lvlJc w:val="right"/>
      <w:pPr>
        <w:ind w:left="2520" w:hanging="180"/>
      </w:pPr>
    </w:lvl>
    <w:lvl w:ilvl="3" w:tplc="26D2A986" w:tentative="1">
      <w:start w:val="1"/>
      <w:numFmt w:val="decimal"/>
      <w:lvlText w:val="%4."/>
      <w:lvlJc w:val="left"/>
      <w:pPr>
        <w:ind w:left="3240" w:hanging="360"/>
      </w:pPr>
    </w:lvl>
    <w:lvl w:ilvl="4" w:tplc="F65CE988" w:tentative="1">
      <w:start w:val="1"/>
      <w:numFmt w:val="lowerLetter"/>
      <w:lvlText w:val="%5."/>
      <w:lvlJc w:val="left"/>
      <w:pPr>
        <w:ind w:left="3960" w:hanging="360"/>
      </w:pPr>
    </w:lvl>
    <w:lvl w:ilvl="5" w:tplc="C83E9E38" w:tentative="1">
      <w:start w:val="1"/>
      <w:numFmt w:val="lowerRoman"/>
      <w:lvlText w:val="%6."/>
      <w:lvlJc w:val="right"/>
      <w:pPr>
        <w:ind w:left="4680" w:hanging="180"/>
      </w:pPr>
    </w:lvl>
    <w:lvl w:ilvl="6" w:tplc="655E2FF6" w:tentative="1">
      <w:start w:val="1"/>
      <w:numFmt w:val="decimal"/>
      <w:lvlText w:val="%7."/>
      <w:lvlJc w:val="left"/>
      <w:pPr>
        <w:ind w:left="5400" w:hanging="360"/>
      </w:pPr>
    </w:lvl>
    <w:lvl w:ilvl="7" w:tplc="5B5E93CE" w:tentative="1">
      <w:start w:val="1"/>
      <w:numFmt w:val="lowerLetter"/>
      <w:lvlText w:val="%8."/>
      <w:lvlJc w:val="left"/>
      <w:pPr>
        <w:ind w:left="6120" w:hanging="360"/>
      </w:pPr>
    </w:lvl>
    <w:lvl w:ilvl="8" w:tplc="C8C0E942" w:tentative="1">
      <w:start w:val="1"/>
      <w:numFmt w:val="lowerRoman"/>
      <w:lvlText w:val="%9."/>
      <w:lvlJc w:val="right"/>
      <w:pPr>
        <w:ind w:left="6840" w:hanging="180"/>
      </w:pPr>
    </w:lvl>
  </w:abstractNum>
  <w:abstractNum w:abstractNumId="16" w15:restartNumberingAfterBreak="0">
    <w:nsid w:val="1F3D1F07"/>
    <w:multiLevelType w:val="multilevel"/>
    <w:tmpl w:val="2CFC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454ECD"/>
    <w:multiLevelType w:val="hybridMultilevel"/>
    <w:tmpl w:val="A32689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3041901"/>
    <w:multiLevelType w:val="multilevel"/>
    <w:tmpl w:val="FDA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6E6D2C"/>
    <w:multiLevelType w:val="hybridMultilevel"/>
    <w:tmpl w:val="0A582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395614"/>
    <w:multiLevelType w:val="hybridMultilevel"/>
    <w:tmpl w:val="62606254"/>
    <w:lvl w:ilvl="0" w:tplc="D45A298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2455105A"/>
    <w:multiLevelType w:val="hybridMultilevel"/>
    <w:tmpl w:val="3D2C1084"/>
    <w:lvl w:ilvl="0" w:tplc="90AA63D4">
      <w:start w:val="1"/>
      <w:numFmt w:val="decimal"/>
      <w:lvlText w:val="%1."/>
      <w:lvlJc w:val="left"/>
      <w:pPr>
        <w:ind w:left="720" w:hanging="360"/>
      </w:pPr>
      <w:rPr>
        <w:rFonts w:hint="default"/>
      </w:rPr>
    </w:lvl>
    <w:lvl w:ilvl="1" w:tplc="31F29AB4" w:tentative="1">
      <w:start w:val="1"/>
      <w:numFmt w:val="lowerLetter"/>
      <w:lvlText w:val="%2."/>
      <w:lvlJc w:val="left"/>
      <w:pPr>
        <w:ind w:left="1440" w:hanging="360"/>
      </w:pPr>
    </w:lvl>
    <w:lvl w:ilvl="2" w:tplc="58FE8B46" w:tentative="1">
      <w:start w:val="1"/>
      <w:numFmt w:val="lowerRoman"/>
      <w:lvlText w:val="%3."/>
      <w:lvlJc w:val="right"/>
      <w:pPr>
        <w:ind w:left="2160" w:hanging="180"/>
      </w:pPr>
    </w:lvl>
    <w:lvl w:ilvl="3" w:tplc="A874FF3A" w:tentative="1">
      <w:start w:val="1"/>
      <w:numFmt w:val="decimal"/>
      <w:lvlText w:val="%4."/>
      <w:lvlJc w:val="left"/>
      <w:pPr>
        <w:ind w:left="2880" w:hanging="360"/>
      </w:pPr>
    </w:lvl>
    <w:lvl w:ilvl="4" w:tplc="E4866612" w:tentative="1">
      <w:start w:val="1"/>
      <w:numFmt w:val="lowerLetter"/>
      <w:lvlText w:val="%5."/>
      <w:lvlJc w:val="left"/>
      <w:pPr>
        <w:ind w:left="3600" w:hanging="360"/>
      </w:pPr>
    </w:lvl>
    <w:lvl w:ilvl="5" w:tplc="1CEA9CE8" w:tentative="1">
      <w:start w:val="1"/>
      <w:numFmt w:val="lowerRoman"/>
      <w:lvlText w:val="%6."/>
      <w:lvlJc w:val="right"/>
      <w:pPr>
        <w:ind w:left="4320" w:hanging="180"/>
      </w:pPr>
    </w:lvl>
    <w:lvl w:ilvl="6" w:tplc="F4BEBE88" w:tentative="1">
      <w:start w:val="1"/>
      <w:numFmt w:val="decimal"/>
      <w:lvlText w:val="%7."/>
      <w:lvlJc w:val="left"/>
      <w:pPr>
        <w:ind w:left="5040" w:hanging="360"/>
      </w:pPr>
    </w:lvl>
    <w:lvl w:ilvl="7" w:tplc="FA9AAE92" w:tentative="1">
      <w:start w:val="1"/>
      <w:numFmt w:val="lowerLetter"/>
      <w:lvlText w:val="%8."/>
      <w:lvlJc w:val="left"/>
      <w:pPr>
        <w:ind w:left="5760" w:hanging="360"/>
      </w:pPr>
    </w:lvl>
    <w:lvl w:ilvl="8" w:tplc="8ED88806" w:tentative="1">
      <w:start w:val="1"/>
      <w:numFmt w:val="lowerRoman"/>
      <w:lvlText w:val="%9."/>
      <w:lvlJc w:val="right"/>
      <w:pPr>
        <w:ind w:left="6480" w:hanging="180"/>
      </w:pPr>
    </w:lvl>
  </w:abstractNum>
  <w:abstractNum w:abstractNumId="22" w15:restartNumberingAfterBreak="0">
    <w:nsid w:val="24A2265C"/>
    <w:multiLevelType w:val="hybridMultilevel"/>
    <w:tmpl w:val="C292C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2C7506"/>
    <w:multiLevelType w:val="multilevel"/>
    <w:tmpl w:val="5BC2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A629AC"/>
    <w:multiLevelType w:val="hybridMultilevel"/>
    <w:tmpl w:val="D97AC50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2AB813E5"/>
    <w:multiLevelType w:val="multilevel"/>
    <w:tmpl w:val="CB422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E230FA"/>
    <w:multiLevelType w:val="multilevel"/>
    <w:tmpl w:val="35E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D05D55"/>
    <w:multiLevelType w:val="multilevel"/>
    <w:tmpl w:val="9E628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112813"/>
    <w:multiLevelType w:val="hybridMultilevel"/>
    <w:tmpl w:val="FD9E55A8"/>
    <w:lvl w:ilvl="0" w:tplc="6DF23D38">
      <w:start w:val="1"/>
      <w:numFmt w:val="lowerLetter"/>
      <w:lvlText w:val="%1."/>
      <w:lvlJc w:val="left"/>
      <w:pPr>
        <w:ind w:left="1440" w:hanging="360"/>
      </w:pPr>
      <w:rPr>
        <w:rFonts w:ascii="Times New Roman" w:eastAsia="Calibri" w:hAnsi="Times New Roman" w:cs="Times New Roman"/>
        <w:b w:val="0"/>
      </w:rPr>
    </w:lvl>
    <w:lvl w:ilvl="1" w:tplc="DCB0FC42">
      <w:start w:val="1"/>
      <w:numFmt w:val="lowerLetter"/>
      <w:lvlText w:val="%2."/>
      <w:lvlJc w:val="left"/>
      <w:pPr>
        <w:ind w:left="2160" w:hanging="360"/>
      </w:pPr>
    </w:lvl>
    <w:lvl w:ilvl="2" w:tplc="26641DA2">
      <w:start w:val="1"/>
      <w:numFmt w:val="lowerRoman"/>
      <w:lvlText w:val="%3."/>
      <w:lvlJc w:val="right"/>
      <w:pPr>
        <w:ind w:left="2880" w:hanging="180"/>
      </w:pPr>
    </w:lvl>
    <w:lvl w:ilvl="3" w:tplc="292CF074">
      <w:start w:val="1"/>
      <w:numFmt w:val="decimal"/>
      <w:lvlText w:val="%4."/>
      <w:lvlJc w:val="left"/>
      <w:pPr>
        <w:ind w:left="3600" w:hanging="360"/>
      </w:pPr>
    </w:lvl>
    <w:lvl w:ilvl="4" w:tplc="53E4E9FA">
      <w:start w:val="1"/>
      <w:numFmt w:val="lowerLetter"/>
      <w:lvlText w:val="%5."/>
      <w:lvlJc w:val="left"/>
      <w:pPr>
        <w:ind w:left="4320" w:hanging="360"/>
      </w:pPr>
    </w:lvl>
    <w:lvl w:ilvl="5" w:tplc="BAB42280">
      <w:start w:val="1"/>
      <w:numFmt w:val="lowerRoman"/>
      <w:lvlText w:val="%6."/>
      <w:lvlJc w:val="right"/>
      <w:pPr>
        <w:ind w:left="5040" w:hanging="180"/>
      </w:pPr>
    </w:lvl>
    <w:lvl w:ilvl="6" w:tplc="D24422DA">
      <w:start w:val="1"/>
      <w:numFmt w:val="decimal"/>
      <w:lvlText w:val="%7."/>
      <w:lvlJc w:val="left"/>
      <w:pPr>
        <w:ind w:left="5760" w:hanging="360"/>
      </w:pPr>
    </w:lvl>
    <w:lvl w:ilvl="7" w:tplc="558AFA62">
      <w:start w:val="1"/>
      <w:numFmt w:val="lowerLetter"/>
      <w:lvlText w:val="%8."/>
      <w:lvlJc w:val="left"/>
      <w:pPr>
        <w:ind w:left="6480" w:hanging="360"/>
      </w:pPr>
    </w:lvl>
    <w:lvl w:ilvl="8" w:tplc="11C4CD18">
      <w:start w:val="1"/>
      <w:numFmt w:val="lowerRoman"/>
      <w:lvlText w:val="%9."/>
      <w:lvlJc w:val="right"/>
      <w:pPr>
        <w:ind w:left="7200" w:hanging="180"/>
      </w:pPr>
    </w:lvl>
  </w:abstractNum>
  <w:abstractNum w:abstractNumId="29" w15:restartNumberingAfterBreak="0">
    <w:nsid w:val="318F6808"/>
    <w:multiLevelType w:val="multilevel"/>
    <w:tmpl w:val="AB2E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603E1B"/>
    <w:multiLevelType w:val="hybridMultilevel"/>
    <w:tmpl w:val="0F78F5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D64DE"/>
    <w:multiLevelType w:val="multilevel"/>
    <w:tmpl w:val="C450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13054F"/>
    <w:multiLevelType w:val="multilevel"/>
    <w:tmpl w:val="BC9E6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833E92"/>
    <w:multiLevelType w:val="hybridMultilevel"/>
    <w:tmpl w:val="32BCD0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BD6310E"/>
    <w:multiLevelType w:val="multilevel"/>
    <w:tmpl w:val="3B60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8303DC"/>
    <w:multiLevelType w:val="hybridMultilevel"/>
    <w:tmpl w:val="05863812"/>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6" w15:restartNumberingAfterBreak="0">
    <w:nsid w:val="3E865534"/>
    <w:multiLevelType w:val="hybridMultilevel"/>
    <w:tmpl w:val="CB5ADC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3FC472C3"/>
    <w:multiLevelType w:val="hybridMultilevel"/>
    <w:tmpl w:val="A996758A"/>
    <w:lvl w:ilvl="0" w:tplc="CE7260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41272DC9"/>
    <w:multiLevelType w:val="multilevel"/>
    <w:tmpl w:val="853A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E53849"/>
    <w:multiLevelType w:val="multilevel"/>
    <w:tmpl w:val="04B4C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2429EA"/>
    <w:multiLevelType w:val="hybridMultilevel"/>
    <w:tmpl w:val="7B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730130"/>
    <w:multiLevelType w:val="hybridMultilevel"/>
    <w:tmpl w:val="FDFC77CC"/>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9E937FC"/>
    <w:multiLevelType w:val="hybridMultilevel"/>
    <w:tmpl w:val="44E0D7EA"/>
    <w:lvl w:ilvl="0" w:tplc="8A58B252">
      <w:start w:val="1"/>
      <w:numFmt w:val="decimal"/>
      <w:lvlText w:val="%1."/>
      <w:lvlJc w:val="left"/>
      <w:pPr>
        <w:ind w:left="720" w:hanging="360"/>
      </w:pPr>
      <w:rPr>
        <w:rFonts w:hint="default"/>
      </w:rPr>
    </w:lvl>
    <w:lvl w:ilvl="1" w:tplc="939671EC" w:tentative="1">
      <w:start w:val="1"/>
      <w:numFmt w:val="lowerLetter"/>
      <w:lvlText w:val="%2."/>
      <w:lvlJc w:val="left"/>
      <w:pPr>
        <w:ind w:left="1440" w:hanging="360"/>
      </w:pPr>
    </w:lvl>
    <w:lvl w:ilvl="2" w:tplc="E14A5CD6" w:tentative="1">
      <w:start w:val="1"/>
      <w:numFmt w:val="lowerRoman"/>
      <w:lvlText w:val="%3."/>
      <w:lvlJc w:val="right"/>
      <w:pPr>
        <w:ind w:left="2160" w:hanging="180"/>
      </w:pPr>
    </w:lvl>
    <w:lvl w:ilvl="3" w:tplc="16A06E5A" w:tentative="1">
      <w:start w:val="1"/>
      <w:numFmt w:val="decimal"/>
      <w:lvlText w:val="%4."/>
      <w:lvlJc w:val="left"/>
      <w:pPr>
        <w:ind w:left="2880" w:hanging="360"/>
      </w:pPr>
    </w:lvl>
    <w:lvl w:ilvl="4" w:tplc="03BEFD8A" w:tentative="1">
      <w:start w:val="1"/>
      <w:numFmt w:val="lowerLetter"/>
      <w:lvlText w:val="%5."/>
      <w:lvlJc w:val="left"/>
      <w:pPr>
        <w:ind w:left="3600" w:hanging="360"/>
      </w:pPr>
    </w:lvl>
    <w:lvl w:ilvl="5" w:tplc="3154D342" w:tentative="1">
      <w:start w:val="1"/>
      <w:numFmt w:val="lowerRoman"/>
      <w:lvlText w:val="%6."/>
      <w:lvlJc w:val="right"/>
      <w:pPr>
        <w:ind w:left="4320" w:hanging="180"/>
      </w:pPr>
    </w:lvl>
    <w:lvl w:ilvl="6" w:tplc="0A4447F0" w:tentative="1">
      <w:start w:val="1"/>
      <w:numFmt w:val="decimal"/>
      <w:lvlText w:val="%7."/>
      <w:lvlJc w:val="left"/>
      <w:pPr>
        <w:ind w:left="5040" w:hanging="360"/>
      </w:pPr>
    </w:lvl>
    <w:lvl w:ilvl="7" w:tplc="40AA4D30" w:tentative="1">
      <w:start w:val="1"/>
      <w:numFmt w:val="lowerLetter"/>
      <w:lvlText w:val="%8."/>
      <w:lvlJc w:val="left"/>
      <w:pPr>
        <w:ind w:left="5760" w:hanging="360"/>
      </w:pPr>
    </w:lvl>
    <w:lvl w:ilvl="8" w:tplc="8842BA06" w:tentative="1">
      <w:start w:val="1"/>
      <w:numFmt w:val="lowerRoman"/>
      <w:lvlText w:val="%9."/>
      <w:lvlJc w:val="right"/>
      <w:pPr>
        <w:ind w:left="6480" w:hanging="180"/>
      </w:pPr>
    </w:lvl>
  </w:abstractNum>
  <w:abstractNum w:abstractNumId="43" w15:restartNumberingAfterBreak="0">
    <w:nsid w:val="4BC74C14"/>
    <w:multiLevelType w:val="hybridMultilevel"/>
    <w:tmpl w:val="FE383A28"/>
    <w:lvl w:ilvl="0" w:tplc="7E96C718">
      <w:start w:val="1"/>
      <w:numFmt w:val="lowerLetter"/>
      <w:lvlText w:val="%1."/>
      <w:lvlJc w:val="left"/>
      <w:pPr>
        <w:ind w:left="1494" w:hanging="360"/>
      </w:pPr>
      <w:rPr>
        <w:rFonts w:ascii="Times New Roman" w:eastAsia="Calibri" w:hAnsi="Times New Roman" w:cs="Times New Roman"/>
        <w:b w:val="0"/>
      </w:rPr>
    </w:lvl>
    <w:lvl w:ilvl="1" w:tplc="8E0ABC52">
      <w:start w:val="1"/>
      <w:numFmt w:val="lowerLetter"/>
      <w:lvlText w:val="%2."/>
      <w:lvlJc w:val="left"/>
      <w:pPr>
        <w:ind w:left="2214" w:hanging="360"/>
      </w:pPr>
    </w:lvl>
    <w:lvl w:ilvl="2" w:tplc="391EA0A2">
      <w:start w:val="1"/>
      <w:numFmt w:val="lowerRoman"/>
      <w:lvlText w:val="%3."/>
      <w:lvlJc w:val="right"/>
      <w:pPr>
        <w:ind w:left="2934" w:hanging="180"/>
      </w:pPr>
    </w:lvl>
    <w:lvl w:ilvl="3" w:tplc="FC54B536">
      <w:start w:val="1"/>
      <w:numFmt w:val="decimal"/>
      <w:lvlText w:val="%4."/>
      <w:lvlJc w:val="left"/>
      <w:pPr>
        <w:ind w:left="3654" w:hanging="360"/>
      </w:pPr>
    </w:lvl>
    <w:lvl w:ilvl="4" w:tplc="74AC7C7A">
      <w:start w:val="1"/>
      <w:numFmt w:val="lowerLetter"/>
      <w:lvlText w:val="%5."/>
      <w:lvlJc w:val="left"/>
      <w:pPr>
        <w:ind w:left="4374" w:hanging="360"/>
      </w:pPr>
    </w:lvl>
    <w:lvl w:ilvl="5" w:tplc="C850365A">
      <w:start w:val="1"/>
      <w:numFmt w:val="lowerRoman"/>
      <w:lvlText w:val="%6."/>
      <w:lvlJc w:val="right"/>
      <w:pPr>
        <w:ind w:left="5094" w:hanging="180"/>
      </w:pPr>
    </w:lvl>
    <w:lvl w:ilvl="6" w:tplc="755CC192">
      <w:start w:val="1"/>
      <w:numFmt w:val="decimal"/>
      <w:lvlText w:val="%7."/>
      <w:lvlJc w:val="left"/>
      <w:pPr>
        <w:ind w:left="5814" w:hanging="360"/>
      </w:pPr>
    </w:lvl>
    <w:lvl w:ilvl="7" w:tplc="A68E1A7A">
      <w:start w:val="1"/>
      <w:numFmt w:val="lowerLetter"/>
      <w:lvlText w:val="%8."/>
      <w:lvlJc w:val="left"/>
      <w:pPr>
        <w:ind w:left="6534" w:hanging="360"/>
      </w:pPr>
    </w:lvl>
    <w:lvl w:ilvl="8" w:tplc="0E44AEF2">
      <w:start w:val="1"/>
      <w:numFmt w:val="lowerRoman"/>
      <w:lvlText w:val="%9."/>
      <w:lvlJc w:val="right"/>
      <w:pPr>
        <w:ind w:left="7254" w:hanging="180"/>
      </w:pPr>
    </w:lvl>
  </w:abstractNum>
  <w:abstractNum w:abstractNumId="44" w15:restartNumberingAfterBreak="0">
    <w:nsid w:val="4C703764"/>
    <w:multiLevelType w:val="multilevel"/>
    <w:tmpl w:val="6A06B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0C699A"/>
    <w:multiLevelType w:val="multilevel"/>
    <w:tmpl w:val="F01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1F395F"/>
    <w:multiLevelType w:val="hybridMultilevel"/>
    <w:tmpl w:val="6B3687EE"/>
    <w:lvl w:ilvl="0" w:tplc="0421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0CE2686"/>
    <w:multiLevelType w:val="hybridMultilevel"/>
    <w:tmpl w:val="577E0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042DEB"/>
    <w:multiLevelType w:val="hybridMultilevel"/>
    <w:tmpl w:val="D5C810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53984829"/>
    <w:multiLevelType w:val="hybridMultilevel"/>
    <w:tmpl w:val="10304EC6"/>
    <w:lvl w:ilvl="0" w:tplc="30967578">
      <w:start w:val="1"/>
      <w:numFmt w:val="lowerLetter"/>
      <w:lvlText w:val="%1."/>
      <w:lvlJc w:val="left"/>
      <w:pPr>
        <w:ind w:left="1800" w:hanging="360"/>
      </w:pPr>
      <w:rPr>
        <w:rFonts w:ascii="Times New Roman" w:eastAsiaTheme="minorHAnsi" w:hAnsi="Times New Roman" w:cs="Times New Roman"/>
      </w:rPr>
    </w:lvl>
    <w:lvl w:ilvl="1" w:tplc="0428B760">
      <w:start w:val="1"/>
      <w:numFmt w:val="lowerLetter"/>
      <w:lvlText w:val="%2."/>
      <w:lvlJc w:val="left"/>
      <w:pPr>
        <w:ind w:left="2520" w:hanging="360"/>
      </w:pPr>
    </w:lvl>
    <w:lvl w:ilvl="2" w:tplc="66AC64AE">
      <w:start w:val="1"/>
      <w:numFmt w:val="lowerRoman"/>
      <w:lvlText w:val="%3."/>
      <w:lvlJc w:val="right"/>
      <w:pPr>
        <w:ind w:left="3240" w:hanging="180"/>
      </w:pPr>
    </w:lvl>
    <w:lvl w:ilvl="3" w:tplc="C4DCC560">
      <w:start w:val="1"/>
      <w:numFmt w:val="decimal"/>
      <w:lvlText w:val="%4."/>
      <w:lvlJc w:val="left"/>
      <w:pPr>
        <w:ind w:left="3960" w:hanging="360"/>
      </w:pPr>
    </w:lvl>
    <w:lvl w:ilvl="4" w:tplc="B156DFF6">
      <w:start w:val="1"/>
      <w:numFmt w:val="lowerLetter"/>
      <w:lvlText w:val="%5."/>
      <w:lvlJc w:val="left"/>
      <w:pPr>
        <w:ind w:left="4680" w:hanging="360"/>
      </w:pPr>
    </w:lvl>
    <w:lvl w:ilvl="5" w:tplc="826A9500">
      <w:start w:val="1"/>
      <w:numFmt w:val="lowerRoman"/>
      <w:lvlText w:val="%6."/>
      <w:lvlJc w:val="right"/>
      <w:pPr>
        <w:ind w:left="5400" w:hanging="180"/>
      </w:pPr>
    </w:lvl>
    <w:lvl w:ilvl="6" w:tplc="9D72C948">
      <w:start w:val="1"/>
      <w:numFmt w:val="decimal"/>
      <w:lvlText w:val="%7."/>
      <w:lvlJc w:val="left"/>
      <w:pPr>
        <w:ind w:left="6120" w:hanging="360"/>
      </w:pPr>
    </w:lvl>
    <w:lvl w:ilvl="7" w:tplc="8B7446A8">
      <w:start w:val="1"/>
      <w:numFmt w:val="lowerLetter"/>
      <w:lvlText w:val="%8."/>
      <w:lvlJc w:val="left"/>
      <w:pPr>
        <w:ind w:left="6840" w:hanging="360"/>
      </w:pPr>
    </w:lvl>
    <w:lvl w:ilvl="8" w:tplc="F776FADE">
      <w:start w:val="1"/>
      <w:numFmt w:val="lowerRoman"/>
      <w:lvlText w:val="%9."/>
      <w:lvlJc w:val="right"/>
      <w:pPr>
        <w:ind w:left="7560" w:hanging="180"/>
      </w:pPr>
    </w:lvl>
  </w:abstractNum>
  <w:abstractNum w:abstractNumId="51" w15:restartNumberingAfterBreak="0">
    <w:nsid w:val="54B03A8E"/>
    <w:multiLevelType w:val="multilevel"/>
    <w:tmpl w:val="25F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07F3CD"/>
    <w:multiLevelType w:val="singleLevel"/>
    <w:tmpl w:val="5507F3CD"/>
    <w:lvl w:ilvl="0">
      <w:start w:val="1"/>
      <w:numFmt w:val="decimal"/>
      <w:lvlText w:val="%1."/>
      <w:lvlJc w:val="left"/>
    </w:lvl>
  </w:abstractNum>
  <w:abstractNum w:abstractNumId="53" w15:restartNumberingAfterBreak="0">
    <w:nsid w:val="554D3C84"/>
    <w:multiLevelType w:val="multilevel"/>
    <w:tmpl w:val="A47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5BB20ED"/>
    <w:multiLevelType w:val="hybridMultilevel"/>
    <w:tmpl w:val="BA70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6271DC"/>
    <w:multiLevelType w:val="multilevel"/>
    <w:tmpl w:val="CB20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D57D83"/>
    <w:multiLevelType w:val="hybridMultilevel"/>
    <w:tmpl w:val="778469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5E9413DD"/>
    <w:multiLevelType w:val="multilevel"/>
    <w:tmpl w:val="87A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4B079A"/>
    <w:multiLevelType w:val="multilevel"/>
    <w:tmpl w:val="BCCC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A1754D"/>
    <w:multiLevelType w:val="hybridMultilevel"/>
    <w:tmpl w:val="5F1657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04F78D8"/>
    <w:multiLevelType w:val="hybridMultilevel"/>
    <w:tmpl w:val="7AAA6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C81EC6"/>
    <w:multiLevelType w:val="multilevel"/>
    <w:tmpl w:val="86D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15F4E20"/>
    <w:multiLevelType w:val="hybridMultilevel"/>
    <w:tmpl w:val="DE88A2C0"/>
    <w:lvl w:ilvl="0" w:tplc="D45A2980">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5C09AC"/>
    <w:multiLevelType w:val="multilevel"/>
    <w:tmpl w:val="94701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6530B7"/>
    <w:multiLevelType w:val="hybridMultilevel"/>
    <w:tmpl w:val="E2428CDC"/>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ABB53F7"/>
    <w:multiLevelType w:val="hybridMultilevel"/>
    <w:tmpl w:val="94644196"/>
    <w:lvl w:ilvl="0" w:tplc="5352D3B8">
      <w:start w:val="1"/>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C8908F4"/>
    <w:multiLevelType w:val="hybridMultilevel"/>
    <w:tmpl w:val="6A302104"/>
    <w:lvl w:ilvl="0" w:tplc="701673FE">
      <w:start w:val="1"/>
      <w:numFmt w:val="decimal"/>
      <w:lvlText w:val="%1."/>
      <w:lvlJc w:val="left"/>
      <w:pPr>
        <w:ind w:left="720" w:hanging="360"/>
      </w:pPr>
      <w:rPr>
        <w:rFonts w:hint="default"/>
        <w:b w:val="0"/>
      </w:rPr>
    </w:lvl>
    <w:lvl w:ilvl="1" w:tplc="6AA0FE86" w:tentative="1">
      <w:start w:val="1"/>
      <w:numFmt w:val="lowerLetter"/>
      <w:lvlText w:val="%2."/>
      <w:lvlJc w:val="left"/>
      <w:pPr>
        <w:ind w:left="1440" w:hanging="360"/>
      </w:pPr>
    </w:lvl>
    <w:lvl w:ilvl="2" w:tplc="F3D84062" w:tentative="1">
      <w:start w:val="1"/>
      <w:numFmt w:val="lowerRoman"/>
      <w:lvlText w:val="%3."/>
      <w:lvlJc w:val="right"/>
      <w:pPr>
        <w:ind w:left="2160" w:hanging="180"/>
      </w:pPr>
    </w:lvl>
    <w:lvl w:ilvl="3" w:tplc="408ED20E" w:tentative="1">
      <w:start w:val="1"/>
      <w:numFmt w:val="decimal"/>
      <w:lvlText w:val="%4."/>
      <w:lvlJc w:val="left"/>
      <w:pPr>
        <w:ind w:left="2880" w:hanging="360"/>
      </w:pPr>
    </w:lvl>
    <w:lvl w:ilvl="4" w:tplc="DEE6A05A" w:tentative="1">
      <w:start w:val="1"/>
      <w:numFmt w:val="lowerLetter"/>
      <w:lvlText w:val="%5."/>
      <w:lvlJc w:val="left"/>
      <w:pPr>
        <w:ind w:left="3600" w:hanging="360"/>
      </w:pPr>
    </w:lvl>
    <w:lvl w:ilvl="5" w:tplc="4C1A10C4" w:tentative="1">
      <w:start w:val="1"/>
      <w:numFmt w:val="lowerRoman"/>
      <w:lvlText w:val="%6."/>
      <w:lvlJc w:val="right"/>
      <w:pPr>
        <w:ind w:left="4320" w:hanging="180"/>
      </w:pPr>
    </w:lvl>
    <w:lvl w:ilvl="6" w:tplc="918887BC" w:tentative="1">
      <w:start w:val="1"/>
      <w:numFmt w:val="decimal"/>
      <w:lvlText w:val="%7."/>
      <w:lvlJc w:val="left"/>
      <w:pPr>
        <w:ind w:left="5040" w:hanging="360"/>
      </w:pPr>
    </w:lvl>
    <w:lvl w:ilvl="7" w:tplc="DFC66960" w:tentative="1">
      <w:start w:val="1"/>
      <w:numFmt w:val="lowerLetter"/>
      <w:lvlText w:val="%8."/>
      <w:lvlJc w:val="left"/>
      <w:pPr>
        <w:ind w:left="5760" w:hanging="360"/>
      </w:pPr>
    </w:lvl>
    <w:lvl w:ilvl="8" w:tplc="0F9EA660" w:tentative="1">
      <w:start w:val="1"/>
      <w:numFmt w:val="lowerRoman"/>
      <w:lvlText w:val="%9."/>
      <w:lvlJc w:val="right"/>
      <w:pPr>
        <w:ind w:left="6480" w:hanging="180"/>
      </w:pPr>
    </w:lvl>
  </w:abstractNum>
  <w:abstractNum w:abstractNumId="67" w15:restartNumberingAfterBreak="0">
    <w:nsid w:val="6DEF2D09"/>
    <w:multiLevelType w:val="hybridMultilevel"/>
    <w:tmpl w:val="17DCC64C"/>
    <w:lvl w:ilvl="0" w:tplc="CF743614">
      <w:start w:val="1"/>
      <w:numFmt w:val="decimal"/>
      <w:lvlText w:val="%1."/>
      <w:lvlJc w:val="left"/>
      <w:pPr>
        <w:ind w:left="720" w:hanging="360"/>
      </w:pPr>
      <w:rPr>
        <w:rFonts w:hint="default"/>
        <w:b/>
        <w:bCs/>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E493FD2"/>
    <w:multiLevelType w:val="hybridMultilevel"/>
    <w:tmpl w:val="C06A365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15:restartNumberingAfterBreak="0">
    <w:nsid w:val="6EDF2B0E"/>
    <w:multiLevelType w:val="multilevel"/>
    <w:tmpl w:val="0B286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F747E1B"/>
    <w:multiLevelType w:val="multilevel"/>
    <w:tmpl w:val="2F4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FC1990"/>
    <w:multiLevelType w:val="hybridMultilevel"/>
    <w:tmpl w:val="96523D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225383E"/>
    <w:multiLevelType w:val="hybridMultilevel"/>
    <w:tmpl w:val="0254A590"/>
    <w:lvl w:ilvl="0" w:tplc="D9EEF8D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3" w15:restartNumberingAfterBreak="0">
    <w:nsid w:val="7304249B"/>
    <w:multiLevelType w:val="hybridMultilevel"/>
    <w:tmpl w:val="6C0C7892"/>
    <w:lvl w:ilvl="0" w:tplc="67884A0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4" w15:restartNumberingAfterBreak="0">
    <w:nsid w:val="734B5D51"/>
    <w:multiLevelType w:val="hybridMultilevel"/>
    <w:tmpl w:val="8578F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B44B23"/>
    <w:multiLevelType w:val="multilevel"/>
    <w:tmpl w:val="9C8A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F36364"/>
    <w:multiLevelType w:val="hybridMultilevel"/>
    <w:tmpl w:val="88742F48"/>
    <w:lvl w:ilvl="0" w:tplc="57CC837E">
      <w:start w:val="1"/>
      <w:numFmt w:val="bullet"/>
      <w:lvlText w:val=""/>
      <w:lvlJc w:val="left"/>
      <w:pPr>
        <w:ind w:left="2160" w:hanging="360"/>
      </w:pPr>
      <w:rPr>
        <w:rFonts w:ascii="Symbol" w:hAnsi="Symbol" w:hint="default"/>
      </w:rPr>
    </w:lvl>
    <w:lvl w:ilvl="1" w:tplc="17B875C6">
      <w:start w:val="1"/>
      <w:numFmt w:val="bullet"/>
      <w:lvlText w:val="o"/>
      <w:lvlJc w:val="left"/>
      <w:pPr>
        <w:ind w:left="2880" w:hanging="360"/>
      </w:pPr>
      <w:rPr>
        <w:rFonts w:ascii="Courier New" w:hAnsi="Courier New" w:cs="Courier New" w:hint="default"/>
      </w:rPr>
    </w:lvl>
    <w:lvl w:ilvl="2" w:tplc="960A6E74">
      <w:start w:val="1"/>
      <w:numFmt w:val="bullet"/>
      <w:lvlText w:val=""/>
      <w:lvlJc w:val="left"/>
      <w:pPr>
        <w:ind w:left="3600" w:hanging="360"/>
      </w:pPr>
      <w:rPr>
        <w:rFonts w:ascii="Wingdings" w:hAnsi="Wingdings" w:hint="default"/>
      </w:rPr>
    </w:lvl>
    <w:lvl w:ilvl="3" w:tplc="C932F900" w:tentative="1">
      <w:start w:val="1"/>
      <w:numFmt w:val="bullet"/>
      <w:lvlText w:val=""/>
      <w:lvlJc w:val="left"/>
      <w:pPr>
        <w:ind w:left="4320" w:hanging="360"/>
      </w:pPr>
      <w:rPr>
        <w:rFonts w:ascii="Symbol" w:hAnsi="Symbol" w:hint="default"/>
      </w:rPr>
    </w:lvl>
    <w:lvl w:ilvl="4" w:tplc="FD0ECFA6" w:tentative="1">
      <w:start w:val="1"/>
      <w:numFmt w:val="bullet"/>
      <w:lvlText w:val="o"/>
      <w:lvlJc w:val="left"/>
      <w:pPr>
        <w:ind w:left="5040" w:hanging="360"/>
      </w:pPr>
      <w:rPr>
        <w:rFonts w:ascii="Courier New" w:hAnsi="Courier New" w:cs="Courier New" w:hint="default"/>
      </w:rPr>
    </w:lvl>
    <w:lvl w:ilvl="5" w:tplc="BDA05614" w:tentative="1">
      <w:start w:val="1"/>
      <w:numFmt w:val="bullet"/>
      <w:lvlText w:val=""/>
      <w:lvlJc w:val="left"/>
      <w:pPr>
        <w:ind w:left="5760" w:hanging="360"/>
      </w:pPr>
      <w:rPr>
        <w:rFonts w:ascii="Wingdings" w:hAnsi="Wingdings" w:hint="default"/>
      </w:rPr>
    </w:lvl>
    <w:lvl w:ilvl="6" w:tplc="B83ED016" w:tentative="1">
      <w:start w:val="1"/>
      <w:numFmt w:val="bullet"/>
      <w:lvlText w:val=""/>
      <w:lvlJc w:val="left"/>
      <w:pPr>
        <w:ind w:left="6480" w:hanging="360"/>
      </w:pPr>
      <w:rPr>
        <w:rFonts w:ascii="Symbol" w:hAnsi="Symbol" w:hint="default"/>
      </w:rPr>
    </w:lvl>
    <w:lvl w:ilvl="7" w:tplc="75E2BF4A" w:tentative="1">
      <w:start w:val="1"/>
      <w:numFmt w:val="bullet"/>
      <w:lvlText w:val="o"/>
      <w:lvlJc w:val="left"/>
      <w:pPr>
        <w:ind w:left="7200" w:hanging="360"/>
      </w:pPr>
      <w:rPr>
        <w:rFonts w:ascii="Courier New" w:hAnsi="Courier New" w:cs="Courier New" w:hint="default"/>
      </w:rPr>
    </w:lvl>
    <w:lvl w:ilvl="8" w:tplc="FED6DCA4" w:tentative="1">
      <w:start w:val="1"/>
      <w:numFmt w:val="bullet"/>
      <w:lvlText w:val=""/>
      <w:lvlJc w:val="left"/>
      <w:pPr>
        <w:ind w:left="7920" w:hanging="360"/>
      </w:pPr>
      <w:rPr>
        <w:rFonts w:ascii="Wingdings" w:hAnsi="Wingdings" w:hint="default"/>
      </w:rPr>
    </w:lvl>
  </w:abstractNum>
  <w:abstractNum w:abstractNumId="77" w15:restartNumberingAfterBreak="0">
    <w:nsid w:val="7A6964C2"/>
    <w:multiLevelType w:val="hybridMultilevel"/>
    <w:tmpl w:val="4926B4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6D7472"/>
    <w:multiLevelType w:val="multilevel"/>
    <w:tmpl w:val="39B64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770239">
    <w:abstractNumId w:val="42"/>
  </w:num>
  <w:num w:numId="2" w16cid:durableId="1116100283">
    <w:abstractNumId w:val="21"/>
  </w:num>
  <w:num w:numId="3" w16cid:durableId="1332761192">
    <w:abstractNumId w:val="66"/>
  </w:num>
  <w:num w:numId="4" w16cid:durableId="1365671296">
    <w:abstractNumId w:val="0"/>
  </w:num>
  <w:num w:numId="5" w16cid:durableId="1818954889">
    <w:abstractNumId w:val="15"/>
  </w:num>
  <w:num w:numId="6" w16cid:durableId="422336258">
    <w:abstractNumId w:val="76"/>
  </w:num>
  <w:num w:numId="7" w16cid:durableId="1148934368">
    <w:abstractNumId w:val="52"/>
  </w:num>
  <w:num w:numId="8" w16cid:durableId="1305967778">
    <w:abstractNumId w:val="71"/>
  </w:num>
  <w:num w:numId="9" w16cid:durableId="504825900">
    <w:abstractNumId w:val="46"/>
  </w:num>
  <w:num w:numId="10" w16cid:durableId="1147287366">
    <w:abstractNumId w:val="33"/>
  </w:num>
  <w:num w:numId="11" w16cid:durableId="1764571461">
    <w:abstractNumId w:val="64"/>
  </w:num>
  <w:num w:numId="12" w16cid:durableId="2087994082">
    <w:abstractNumId w:val="36"/>
  </w:num>
  <w:num w:numId="13" w16cid:durableId="2012952115">
    <w:abstractNumId w:val="24"/>
  </w:num>
  <w:num w:numId="14" w16cid:durableId="2042436919">
    <w:abstractNumId w:val="17"/>
  </w:num>
  <w:num w:numId="15" w16cid:durableId="14961906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793035">
    <w:abstractNumId w:val="49"/>
  </w:num>
  <w:num w:numId="17" w16cid:durableId="252587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4859314">
    <w:abstractNumId w:val="68"/>
  </w:num>
  <w:num w:numId="19" w16cid:durableId="11760719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6675497">
    <w:abstractNumId w:val="19"/>
  </w:num>
  <w:num w:numId="21" w16cid:durableId="843473672">
    <w:abstractNumId w:val="74"/>
  </w:num>
  <w:num w:numId="22" w16cid:durableId="1979069481">
    <w:abstractNumId w:val="22"/>
  </w:num>
  <w:num w:numId="23" w16cid:durableId="1321424948">
    <w:abstractNumId w:val="9"/>
  </w:num>
  <w:num w:numId="24" w16cid:durableId="1563251048">
    <w:abstractNumId w:val="4"/>
  </w:num>
  <w:num w:numId="25" w16cid:durableId="1644044758">
    <w:abstractNumId w:val="5"/>
  </w:num>
  <w:num w:numId="26" w16cid:durableId="1131090848">
    <w:abstractNumId w:val="14"/>
  </w:num>
  <w:num w:numId="27" w16cid:durableId="1190293081">
    <w:abstractNumId w:val="13"/>
  </w:num>
  <w:num w:numId="28" w16cid:durableId="1454715708">
    <w:abstractNumId w:val="3"/>
  </w:num>
  <w:num w:numId="29" w16cid:durableId="275721012">
    <w:abstractNumId w:val="10"/>
  </w:num>
  <w:num w:numId="30" w16cid:durableId="180701778">
    <w:abstractNumId w:val="54"/>
  </w:num>
  <w:num w:numId="31" w16cid:durableId="1097095256">
    <w:abstractNumId w:val="67"/>
  </w:num>
  <w:num w:numId="32" w16cid:durableId="36861069">
    <w:abstractNumId w:val="20"/>
  </w:num>
  <w:num w:numId="33" w16cid:durableId="1028719416">
    <w:abstractNumId w:val="62"/>
  </w:num>
  <w:num w:numId="34" w16cid:durableId="730999165">
    <w:abstractNumId w:val="41"/>
  </w:num>
  <w:num w:numId="35" w16cid:durableId="1125663989">
    <w:abstractNumId w:val="73"/>
  </w:num>
  <w:num w:numId="36" w16cid:durableId="264193735">
    <w:abstractNumId w:val="65"/>
  </w:num>
  <w:num w:numId="37" w16cid:durableId="695084971">
    <w:abstractNumId w:val="56"/>
  </w:num>
  <w:num w:numId="38" w16cid:durableId="405423200">
    <w:abstractNumId w:val="35"/>
  </w:num>
  <w:num w:numId="39" w16cid:durableId="2035958895">
    <w:abstractNumId w:val="30"/>
  </w:num>
  <w:num w:numId="40" w16cid:durableId="1687706131">
    <w:abstractNumId w:val="37"/>
  </w:num>
  <w:num w:numId="41" w16cid:durableId="429591395">
    <w:abstractNumId w:val="40"/>
  </w:num>
  <w:num w:numId="42" w16cid:durableId="1667855351">
    <w:abstractNumId w:val="77"/>
  </w:num>
  <w:num w:numId="43" w16cid:durableId="1964579397">
    <w:abstractNumId w:val="60"/>
  </w:num>
  <w:num w:numId="44" w16cid:durableId="1922176661">
    <w:abstractNumId w:val="47"/>
  </w:num>
  <w:num w:numId="45" w16cid:durableId="1016343115">
    <w:abstractNumId w:val="12"/>
  </w:num>
  <w:num w:numId="46" w16cid:durableId="1830779875">
    <w:abstractNumId w:val="6"/>
  </w:num>
  <w:num w:numId="47" w16cid:durableId="1612277217">
    <w:abstractNumId w:val="29"/>
  </w:num>
  <w:num w:numId="48" w16cid:durableId="1618637131">
    <w:abstractNumId w:val="23"/>
  </w:num>
  <w:num w:numId="49" w16cid:durableId="1624725325">
    <w:abstractNumId w:val="25"/>
  </w:num>
  <w:num w:numId="50" w16cid:durableId="1765884242">
    <w:abstractNumId w:val="59"/>
  </w:num>
  <w:num w:numId="51" w16cid:durableId="359162855">
    <w:abstractNumId w:val="53"/>
  </w:num>
  <w:num w:numId="52" w16cid:durableId="961151939">
    <w:abstractNumId w:val="7"/>
  </w:num>
  <w:num w:numId="53" w16cid:durableId="595988869">
    <w:abstractNumId w:val="51"/>
  </w:num>
  <w:num w:numId="54" w16cid:durableId="1464932493">
    <w:abstractNumId w:val="57"/>
  </w:num>
  <w:num w:numId="55" w16cid:durableId="1017733195">
    <w:abstractNumId w:val="38"/>
  </w:num>
  <w:num w:numId="56" w16cid:durableId="1603682116">
    <w:abstractNumId w:val="61"/>
  </w:num>
  <w:num w:numId="57" w16cid:durableId="685519786">
    <w:abstractNumId w:val="63"/>
  </w:num>
  <w:num w:numId="58" w16cid:durableId="891694015">
    <w:abstractNumId w:val="58"/>
  </w:num>
  <w:num w:numId="59" w16cid:durableId="2029715484">
    <w:abstractNumId w:val="75"/>
  </w:num>
  <w:num w:numId="60" w16cid:durableId="348335537">
    <w:abstractNumId w:val="45"/>
  </w:num>
  <w:num w:numId="61" w16cid:durableId="1511527751">
    <w:abstractNumId w:val="11"/>
  </w:num>
  <w:num w:numId="62" w16cid:durableId="1816986443">
    <w:abstractNumId w:val="34"/>
  </w:num>
  <w:num w:numId="63" w16cid:durableId="2078280668">
    <w:abstractNumId w:val="78"/>
  </w:num>
  <w:num w:numId="64" w16cid:durableId="893197448">
    <w:abstractNumId w:val="1"/>
  </w:num>
  <w:num w:numId="65" w16cid:durableId="1369837773">
    <w:abstractNumId w:val="32"/>
  </w:num>
  <w:num w:numId="66" w16cid:durableId="1725835972">
    <w:abstractNumId w:val="8"/>
  </w:num>
  <w:num w:numId="67" w16cid:durableId="13505240">
    <w:abstractNumId w:val="16"/>
  </w:num>
  <w:num w:numId="68" w16cid:durableId="27796980">
    <w:abstractNumId w:val="26"/>
  </w:num>
  <w:num w:numId="69" w16cid:durableId="1194270683">
    <w:abstractNumId w:val="31"/>
  </w:num>
  <w:num w:numId="70" w16cid:durableId="121003035">
    <w:abstractNumId w:val="55"/>
  </w:num>
  <w:num w:numId="71" w16cid:durableId="103503185">
    <w:abstractNumId w:val="69"/>
  </w:num>
  <w:num w:numId="72" w16cid:durableId="1268196786">
    <w:abstractNumId w:val="44"/>
  </w:num>
  <w:num w:numId="73" w16cid:durableId="614678128">
    <w:abstractNumId w:val="18"/>
  </w:num>
  <w:num w:numId="74" w16cid:durableId="1935742530">
    <w:abstractNumId w:val="27"/>
  </w:num>
  <w:num w:numId="75" w16cid:durableId="130951133">
    <w:abstractNumId w:val="2"/>
  </w:num>
  <w:num w:numId="76" w16cid:durableId="1420447827">
    <w:abstractNumId w:val="39"/>
  </w:num>
  <w:num w:numId="77" w16cid:durableId="389429048">
    <w:abstractNumId w:val="48"/>
  </w:num>
  <w:num w:numId="78" w16cid:durableId="515776955">
    <w:abstractNumId w:val="70"/>
  </w:num>
  <w:num w:numId="79" w16cid:durableId="1408108600">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4302"/>
    <w:rsid w:val="0004644E"/>
    <w:rsid w:val="00054706"/>
    <w:rsid w:val="00064939"/>
    <w:rsid w:val="00066CF6"/>
    <w:rsid w:val="00073BFE"/>
    <w:rsid w:val="0008129C"/>
    <w:rsid w:val="000849BD"/>
    <w:rsid w:val="000849FC"/>
    <w:rsid w:val="00085001"/>
    <w:rsid w:val="000969E7"/>
    <w:rsid w:val="00097BBC"/>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3E03"/>
    <w:rsid w:val="000F5EEB"/>
    <w:rsid w:val="00106DDA"/>
    <w:rsid w:val="00107EFD"/>
    <w:rsid w:val="001103C1"/>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67D12"/>
    <w:rsid w:val="00170D12"/>
    <w:rsid w:val="00176799"/>
    <w:rsid w:val="00180C6D"/>
    <w:rsid w:val="00191359"/>
    <w:rsid w:val="00191638"/>
    <w:rsid w:val="0019172D"/>
    <w:rsid w:val="00193E1E"/>
    <w:rsid w:val="00197EB9"/>
    <w:rsid w:val="001A59F0"/>
    <w:rsid w:val="001A65D6"/>
    <w:rsid w:val="001A7397"/>
    <w:rsid w:val="001B1BA3"/>
    <w:rsid w:val="001B6848"/>
    <w:rsid w:val="001C2EBE"/>
    <w:rsid w:val="001C3264"/>
    <w:rsid w:val="001C3DE8"/>
    <w:rsid w:val="001D0EB2"/>
    <w:rsid w:val="001E1E47"/>
    <w:rsid w:val="001E334B"/>
    <w:rsid w:val="001E3503"/>
    <w:rsid w:val="001E6FDB"/>
    <w:rsid w:val="001F13D7"/>
    <w:rsid w:val="001F4A5A"/>
    <w:rsid w:val="001F6958"/>
    <w:rsid w:val="00205237"/>
    <w:rsid w:val="00205C77"/>
    <w:rsid w:val="00205E96"/>
    <w:rsid w:val="002064AC"/>
    <w:rsid w:val="00206F3F"/>
    <w:rsid w:val="00215553"/>
    <w:rsid w:val="00215DF0"/>
    <w:rsid w:val="00221D71"/>
    <w:rsid w:val="00222530"/>
    <w:rsid w:val="00226EF8"/>
    <w:rsid w:val="00227765"/>
    <w:rsid w:val="002415EA"/>
    <w:rsid w:val="00243926"/>
    <w:rsid w:val="00244841"/>
    <w:rsid w:val="00260D65"/>
    <w:rsid w:val="0027069E"/>
    <w:rsid w:val="0027242B"/>
    <w:rsid w:val="00272EF8"/>
    <w:rsid w:val="002735B5"/>
    <w:rsid w:val="00273AA2"/>
    <w:rsid w:val="00280DE8"/>
    <w:rsid w:val="00285C6D"/>
    <w:rsid w:val="00287167"/>
    <w:rsid w:val="0028740C"/>
    <w:rsid w:val="0029070A"/>
    <w:rsid w:val="002910CA"/>
    <w:rsid w:val="002951CE"/>
    <w:rsid w:val="00297C28"/>
    <w:rsid w:val="002A0566"/>
    <w:rsid w:val="002A4D43"/>
    <w:rsid w:val="002A5831"/>
    <w:rsid w:val="002B1CAF"/>
    <w:rsid w:val="002B346F"/>
    <w:rsid w:val="002B5288"/>
    <w:rsid w:val="002B62C3"/>
    <w:rsid w:val="002B7B18"/>
    <w:rsid w:val="002C0153"/>
    <w:rsid w:val="002C0D2F"/>
    <w:rsid w:val="002D02A1"/>
    <w:rsid w:val="002D22BC"/>
    <w:rsid w:val="002D2AAF"/>
    <w:rsid w:val="002D3F34"/>
    <w:rsid w:val="002D7C1F"/>
    <w:rsid w:val="002E34DF"/>
    <w:rsid w:val="002E505A"/>
    <w:rsid w:val="002E60D4"/>
    <w:rsid w:val="002E68B4"/>
    <w:rsid w:val="002F1A01"/>
    <w:rsid w:val="002F2BEF"/>
    <w:rsid w:val="002F4B42"/>
    <w:rsid w:val="002F6804"/>
    <w:rsid w:val="00300449"/>
    <w:rsid w:val="00301185"/>
    <w:rsid w:val="00304A91"/>
    <w:rsid w:val="00313448"/>
    <w:rsid w:val="0031473B"/>
    <w:rsid w:val="00314CAC"/>
    <w:rsid w:val="00320F9B"/>
    <w:rsid w:val="00323071"/>
    <w:rsid w:val="00323B01"/>
    <w:rsid w:val="003259C2"/>
    <w:rsid w:val="0032741F"/>
    <w:rsid w:val="00332A73"/>
    <w:rsid w:val="00332FA0"/>
    <w:rsid w:val="003338DB"/>
    <w:rsid w:val="00345178"/>
    <w:rsid w:val="003473FB"/>
    <w:rsid w:val="003635E1"/>
    <w:rsid w:val="00363D13"/>
    <w:rsid w:val="003703D1"/>
    <w:rsid w:val="00370A52"/>
    <w:rsid w:val="00380C5E"/>
    <w:rsid w:val="0038280D"/>
    <w:rsid w:val="003865F2"/>
    <w:rsid w:val="0038723B"/>
    <w:rsid w:val="00387E26"/>
    <w:rsid w:val="0039494F"/>
    <w:rsid w:val="00397B59"/>
    <w:rsid w:val="003A164B"/>
    <w:rsid w:val="003A22A6"/>
    <w:rsid w:val="003B122B"/>
    <w:rsid w:val="003B3830"/>
    <w:rsid w:val="003B43B2"/>
    <w:rsid w:val="003C18F7"/>
    <w:rsid w:val="003C1CF5"/>
    <w:rsid w:val="003C485E"/>
    <w:rsid w:val="003C6E1F"/>
    <w:rsid w:val="003D363A"/>
    <w:rsid w:val="003D57AF"/>
    <w:rsid w:val="003D7CB6"/>
    <w:rsid w:val="003E1282"/>
    <w:rsid w:val="003E34A5"/>
    <w:rsid w:val="003E4A04"/>
    <w:rsid w:val="003E70CE"/>
    <w:rsid w:val="003F238E"/>
    <w:rsid w:val="003F23D6"/>
    <w:rsid w:val="003F3B27"/>
    <w:rsid w:val="003F4907"/>
    <w:rsid w:val="003F5A05"/>
    <w:rsid w:val="00401619"/>
    <w:rsid w:val="004114A0"/>
    <w:rsid w:val="00427372"/>
    <w:rsid w:val="00427A79"/>
    <w:rsid w:val="00427B79"/>
    <w:rsid w:val="00432426"/>
    <w:rsid w:val="0043538D"/>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78"/>
    <w:rsid w:val="004878F5"/>
    <w:rsid w:val="00491AC2"/>
    <w:rsid w:val="00492D4C"/>
    <w:rsid w:val="0049362A"/>
    <w:rsid w:val="004A0D1A"/>
    <w:rsid w:val="004A27A6"/>
    <w:rsid w:val="004A3B33"/>
    <w:rsid w:val="004B0942"/>
    <w:rsid w:val="004B0D60"/>
    <w:rsid w:val="004B3B54"/>
    <w:rsid w:val="004B3BB0"/>
    <w:rsid w:val="004B5EDE"/>
    <w:rsid w:val="004C56E7"/>
    <w:rsid w:val="004C5AD4"/>
    <w:rsid w:val="004D10DC"/>
    <w:rsid w:val="004D27EF"/>
    <w:rsid w:val="004D29FD"/>
    <w:rsid w:val="004D5D44"/>
    <w:rsid w:val="004E21CA"/>
    <w:rsid w:val="004E2460"/>
    <w:rsid w:val="004E578B"/>
    <w:rsid w:val="004E5CF2"/>
    <w:rsid w:val="004E5D62"/>
    <w:rsid w:val="004E70EE"/>
    <w:rsid w:val="0050072B"/>
    <w:rsid w:val="00504993"/>
    <w:rsid w:val="00504B70"/>
    <w:rsid w:val="00513B54"/>
    <w:rsid w:val="0051612D"/>
    <w:rsid w:val="005168C5"/>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A24C2"/>
    <w:rsid w:val="005A514D"/>
    <w:rsid w:val="005A5251"/>
    <w:rsid w:val="005A5A9E"/>
    <w:rsid w:val="005A655E"/>
    <w:rsid w:val="005A6EF0"/>
    <w:rsid w:val="005B0F40"/>
    <w:rsid w:val="005B4ED7"/>
    <w:rsid w:val="005B754A"/>
    <w:rsid w:val="005C268A"/>
    <w:rsid w:val="005C2C0E"/>
    <w:rsid w:val="005C7FC7"/>
    <w:rsid w:val="005D02ED"/>
    <w:rsid w:val="005D0D2C"/>
    <w:rsid w:val="005D3F73"/>
    <w:rsid w:val="005D5E80"/>
    <w:rsid w:val="005D7065"/>
    <w:rsid w:val="005D7AA4"/>
    <w:rsid w:val="005D7F19"/>
    <w:rsid w:val="005E312F"/>
    <w:rsid w:val="005F0DF1"/>
    <w:rsid w:val="005F317F"/>
    <w:rsid w:val="00600291"/>
    <w:rsid w:val="00600411"/>
    <w:rsid w:val="00600F9C"/>
    <w:rsid w:val="00601FD2"/>
    <w:rsid w:val="00605369"/>
    <w:rsid w:val="006054E6"/>
    <w:rsid w:val="00610599"/>
    <w:rsid w:val="00611CAA"/>
    <w:rsid w:val="006130B4"/>
    <w:rsid w:val="00614426"/>
    <w:rsid w:val="00615605"/>
    <w:rsid w:val="00616AD4"/>
    <w:rsid w:val="00621D9C"/>
    <w:rsid w:val="00625438"/>
    <w:rsid w:val="00626841"/>
    <w:rsid w:val="006275E4"/>
    <w:rsid w:val="006279F7"/>
    <w:rsid w:val="006303D6"/>
    <w:rsid w:val="00632D68"/>
    <w:rsid w:val="006347C9"/>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2F73"/>
    <w:rsid w:val="006C3DEF"/>
    <w:rsid w:val="006C5557"/>
    <w:rsid w:val="006C556D"/>
    <w:rsid w:val="006E171C"/>
    <w:rsid w:val="006E174F"/>
    <w:rsid w:val="006E2202"/>
    <w:rsid w:val="006E2CD5"/>
    <w:rsid w:val="006E3292"/>
    <w:rsid w:val="006E47E8"/>
    <w:rsid w:val="006F3F60"/>
    <w:rsid w:val="006F5A73"/>
    <w:rsid w:val="00700C2A"/>
    <w:rsid w:val="00703E6F"/>
    <w:rsid w:val="00712BA6"/>
    <w:rsid w:val="007175EF"/>
    <w:rsid w:val="00723E77"/>
    <w:rsid w:val="00724D7E"/>
    <w:rsid w:val="0072752F"/>
    <w:rsid w:val="007342AB"/>
    <w:rsid w:val="00736845"/>
    <w:rsid w:val="00740818"/>
    <w:rsid w:val="00743403"/>
    <w:rsid w:val="007470CC"/>
    <w:rsid w:val="00752C74"/>
    <w:rsid w:val="0075357A"/>
    <w:rsid w:val="00754D96"/>
    <w:rsid w:val="00757756"/>
    <w:rsid w:val="00761B54"/>
    <w:rsid w:val="0076200A"/>
    <w:rsid w:val="00764448"/>
    <w:rsid w:val="00765581"/>
    <w:rsid w:val="00765D87"/>
    <w:rsid w:val="007678E8"/>
    <w:rsid w:val="007730F7"/>
    <w:rsid w:val="0077518A"/>
    <w:rsid w:val="00775C4D"/>
    <w:rsid w:val="00787076"/>
    <w:rsid w:val="00790542"/>
    <w:rsid w:val="007A05FC"/>
    <w:rsid w:val="007A469C"/>
    <w:rsid w:val="007B1915"/>
    <w:rsid w:val="007B4184"/>
    <w:rsid w:val="007B4FCD"/>
    <w:rsid w:val="007B5026"/>
    <w:rsid w:val="007B5FA1"/>
    <w:rsid w:val="007B7958"/>
    <w:rsid w:val="007C5D54"/>
    <w:rsid w:val="007C770B"/>
    <w:rsid w:val="007D2B14"/>
    <w:rsid w:val="007D2EF6"/>
    <w:rsid w:val="007D4C48"/>
    <w:rsid w:val="007E12C7"/>
    <w:rsid w:val="007E709F"/>
    <w:rsid w:val="007F0A27"/>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5615"/>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B3297"/>
    <w:rsid w:val="008C21E4"/>
    <w:rsid w:val="008C5C03"/>
    <w:rsid w:val="008D0303"/>
    <w:rsid w:val="008D180A"/>
    <w:rsid w:val="008D6461"/>
    <w:rsid w:val="008D655B"/>
    <w:rsid w:val="008D756E"/>
    <w:rsid w:val="008E0408"/>
    <w:rsid w:val="008E6439"/>
    <w:rsid w:val="008E6DAC"/>
    <w:rsid w:val="008E7E0F"/>
    <w:rsid w:val="008F2154"/>
    <w:rsid w:val="008F3C0C"/>
    <w:rsid w:val="008F7283"/>
    <w:rsid w:val="00904BD4"/>
    <w:rsid w:val="00906772"/>
    <w:rsid w:val="00913194"/>
    <w:rsid w:val="00913DE1"/>
    <w:rsid w:val="009162A6"/>
    <w:rsid w:val="00916461"/>
    <w:rsid w:val="00920BC4"/>
    <w:rsid w:val="0092208E"/>
    <w:rsid w:val="0092646C"/>
    <w:rsid w:val="00927ED9"/>
    <w:rsid w:val="009309CE"/>
    <w:rsid w:val="009319FF"/>
    <w:rsid w:val="0093330F"/>
    <w:rsid w:val="0093360E"/>
    <w:rsid w:val="00933A53"/>
    <w:rsid w:val="0093569B"/>
    <w:rsid w:val="00936D4F"/>
    <w:rsid w:val="00937241"/>
    <w:rsid w:val="00937D84"/>
    <w:rsid w:val="00940879"/>
    <w:rsid w:val="0094345C"/>
    <w:rsid w:val="00950BAF"/>
    <w:rsid w:val="00951D67"/>
    <w:rsid w:val="009531EB"/>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2CB0"/>
    <w:rsid w:val="009B4E08"/>
    <w:rsid w:val="009B78AE"/>
    <w:rsid w:val="009C1865"/>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11E0"/>
    <w:rsid w:val="00A43443"/>
    <w:rsid w:val="00A6242F"/>
    <w:rsid w:val="00A624B3"/>
    <w:rsid w:val="00A659BD"/>
    <w:rsid w:val="00A71D5B"/>
    <w:rsid w:val="00A769FC"/>
    <w:rsid w:val="00A80F86"/>
    <w:rsid w:val="00A82737"/>
    <w:rsid w:val="00A833F7"/>
    <w:rsid w:val="00A83B92"/>
    <w:rsid w:val="00A92064"/>
    <w:rsid w:val="00A9253F"/>
    <w:rsid w:val="00A949D8"/>
    <w:rsid w:val="00AA25DB"/>
    <w:rsid w:val="00AB6E71"/>
    <w:rsid w:val="00AB740C"/>
    <w:rsid w:val="00AC016E"/>
    <w:rsid w:val="00AC096C"/>
    <w:rsid w:val="00AC121F"/>
    <w:rsid w:val="00AC1936"/>
    <w:rsid w:val="00AC5A8E"/>
    <w:rsid w:val="00AC62F0"/>
    <w:rsid w:val="00AC7F5A"/>
    <w:rsid w:val="00AD0AE3"/>
    <w:rsid w:val="00AD18AF"/>
    <w:rsid w:val="00AD3B29"/>
    <w:rsid w:val="00AE796C"/>
    <w:rsid w:val="00AE7AE5"/>
    <w:rsid w:val="00AF291F"/>
    <w:rsid w:val="00AF3701"/>
    <w:rsid w:val="00AF4BE0"/>
    <w:rsid w:val="00AF6DE5"/>
    <w:rsid w:val="00B03923"/>
    <w:rsid w:val="00B04251"/>
    <w:rsid w:val="00B102AE"/>
    <w:rsid w:val="00B10E3A"/>
    <w:rsid w:val="00B1124F"/>
    <w:rsid w:val="00B11432"/>
    <w:rsid w:val="00B11A16"/>
    <w:rsid w:val="00B17AA1"/>
    <w:rsid w:val="00B21EB0"/>
    <w:rsid w:val="00B21FF9"/>
    <w:rsid w:val="00B2376F"/>
    <w:rsid w:val="00B23C68"/>
    <w:rsid w:val="00B23C6F"/>
    <w:rsid w:val="00B245B6"/>
    <w:rsid w:val="00B30025"/>
    <w:rsid w:val="00B30F31"/>
    <w:rsid w:val="00B315F0"/>
    <w:rsid w:val="00B31DE3"/>
    <w:rsid w:val="00B32B01"/>
    <w:rsid w:val="00B358D7"/>
    <w:rsid w:val="00B44DDC"/>
    <w:rsid w:val="00B54961"/>
    <w:rsid w:val="00B572AB"/>
    <w:rsid w:val="00B60E62"/>
    <w:rsid w:val="00B61A35"/>
    <w:rsid w:val="00B63465"/>
    <w:rsid w:val="00B636DC"/>
    <w:rsid w:val="00B65387"/>
    <w:rsid w:val="00B66A1D"/>
    <w:rsid w:val="00B71881"/>
    <w:rsid w:val="00B85DE8"/>
    <w:rsid w:val="00BA1C6D"/>
    <w:rsid w:val="00BA254E"/>
    <w:rsid w:val="00BA387C"/>
    <w:rsid w:val="00BA59C3"/>
    <w:rsid w:val="00BA7DDB"/>
    <w:rsid w:val="00BB3691"/>
    <w:rsid w:val="00BB5046"/>
    <w:rsid w:val="00BC0D14"/>
    <w:rsid w:val="00BD3511"/>
    <w:rsid w:val="00BD6193"/>
    <w:rsid w:val="00BE07D2"/>
    <w:rsid w:val="00BE4741"/>
    <w:rsid w:val="00BE64AB"/>
    <w:rsid w:val="00BE6AD5"/>
    <w:rsid w:val="00BF1EA9"/>
    <w:rsid w:val="00BF710B"/>
    <w:rsid w:val="00BF7651"/>
    <w:rsid w:val="00BF7D6E"/>
    <w:rsid w:val="00C00FED"/>
    <w:rsid w:val="00C02A37"/>
    <w:rsid w:val="00C03D1C"/>
    <w:rsid w:val="00C048D6"/>
    <w:rsid w:val="00C12262"/>
    <w:rsid w:val="00C141D5"/>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55A"/>
    <w:rsid w:val="00C71B07"/>
    <w:rsid w:val="00C737BA"/>
    <w:rsid w:val="00C73C6A"/>
    <w:rsid w:val="00C77031"/>
    <w:rsid w:val="00C807F1"/>
    <w:rsid w:val="00C815A9"/>
    <w:rsid w:val="00C853C2"/>
    <w:rsid w:val="00C86276"/>
    <w:rsid w:val="00C87EDC"/>
    <w:rsid w:val="00C9159E"/>
    <w:rsid w:val="00C9295C"/>
    <w:rsid w:val="00C931B0"/>
    <w:rsid w:val="00C95C50"/>
    <w:rsid w:val="00C962A9"/>
    <w:rsid w:val="00C96F0C"/>
    <w:rsid w:val="00C979BE"/>
    <w:rsid w:val="00CA0AB4"/>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29F3"/>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163A2"/>
    <w:rsid w:val="00F34C50"/>
    <w:rsid w:val="00F44669"/>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A71B9"/>
    <w:rsid w:val="00FB341F"/>
    <w:rsid w:val="00FB39AC"/>
    <w:rsid w:val="00FB4790"/>
    <w:rsid w:val="00FB5FC1"/>
    <w:rsid w:val="00FC3ED7"/>
    <w:rsid w:val="00FD03BA"/>
    <w:rsid w:val="00FD2462"/>
    <w:rsid w:val="00FD380B"/>
    <w:rsid w:val="00FD447B"/>
    <w:rsid w:val="00FD4C87"/>
    <w:rsid w:val="00FE14BA"/>
    <w:rsid w:val="00FE5620"/>
    <w:rsid w:val="00F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 w:type="character" w:styleId="PlaceholderText">
    <w:name w:val="Placeholder Text"/>
    <w:basedOn w:val="DefaultParagraphFont"/>
    <w:uiPriority w:val="99"/>
    <w:semiHidden/>
    <w:rsid w:val="006E47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journal.privietlab.org/index.php/JEBL/index" TargetMode="External"/><Relationship Id="rId2" Type="http://schemas.openxmlformats.org/officeDocument/2006/relationships/image" Target="media/image3.png"/><Relationship Id="rId1"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EP%20XV\DATA\Analisis%20ME-GDP-ER\Belanja%20Militer,%20Pertumbuhan%20Ekonomi,%20dan%20Nilai%20Tuka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IND!$D$2</c:f>
              <c:strCache>
                <c:ptCount val="1"/>
                <c:pt idx="0">
                  <c:v> Real GDP </c:v>
                </c:pt>
              </c:strCache>
            </c:strRef>
          </c:tx>
          <c:spPr>
            <a:ln w="15875" cap="rnd">
              <a:solidFill>
                <a:schemeClr val="accent1"/>
              </a:solidFill>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numRef>
              <c:f>IND!$C$3:$C$26</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IND!$D$3:$D$26</c:f>
              <c:numCache>
                <c:formatCode>_(* #,##0.00_);_(* \(#,##0.00\);_(* "-"??_);_(@_)</c:formatCode>
                <c:ptCount val="24"/>
                <c:pt idx="0">
                  <c:v>4121726241993900</c:v>
                </c:pt>
                <c:pt idx="1">
                  <c:v>4271899954667000</c:v>
                </c:pt>
                <c:pt idx="2">
                  <c:v>4464113041849300.5</c:v>
                </c:pt>
                <c:pt idx="3">
                  <c:v>4677514123258600</c:v>
                </c:pt>
                <c:pt idx="4">
                  <c:v>4912833962560100</c:v>
                </c:pt>
                <c:pt idx="5">
                  <c:v>5192500538917800</c:v>
                </c:pt>
                <c:pt idx="6">
                  <c:v>5478137490010100</c:v>
                </c:pt>
                <c:pt idx="7">
                  <c:v>5825726531358900</c:v>
                </c:pt>
                <c:pt idx="8">
                  <c:v>6176068457506700</c:v>
                </c:pt>
                <c:pt idx="9">
                  <c:v>6461950710551500</c:v>
                </c:pt>
                <c:pt idx="10">
                  <c:v>6864133100000000</c:v>
                </c:pt>
                <c:pt idx="11">
                  <c:v>7287635300000000</c:v>
                </c:pt>
                <c:pt idx="12">
                  <c:v>7727083400000000</c:v>
                </c:pt>
                <c:pt idx="13">
                  <c:v>8156497800000000</c:v>
                </c:pt>
                <c:pt idx="14">
                  <c:v>8564866600000000</c:v>
                </c:pt>
                <c:pt idx="15">
                  <c:v>8982517100000000</c:v>
                </c:pt>
                <c:pt idx="16">
                  <c:v>9434613400000000</c:v>
                </c:pt>
                <c:pt idx="17">
                  <c:v>9912928100000000</c:v>
                </c:pt>
                <c:pt idx="18">
                  <c:v>1.04258519E+16</c:v>
                </c:pt>
                <c:pt idx="19">
                  <c:v>1.09491554E+16</c:v>
                </c:pt>
                <c:pt idx="20">
                  <c:v>1.07229993E+16</c:v>
                </c:pt>
                <c:pt idx="21">
                  <c:v>1.11200597E+16</c:v>
                </c:pt>
                <c:pt idx="22">
                  <c:v>1.17102232E+16</c:v>
                </c:pt>
                <c:pt idx="23">
                  <c:v>1.23014751E+16</c:v>
                </c:pt>
              </c:numCache>
            </c:numRef>
          </c:val>
          <c:smooth val="0"/>
          <c:extLst>
            <c:ext xmlns:c16="http://schemas.microsoft.com/office/drawing/2014/chart" uri="{C3380CC4-5D6E-409C-BE32-E72D297353CC}">
              <c16:uniqueId val="{00000000-33EE-402F-8C9B-06CF9A9E66E8}"/>
            </c:ext>
          </c:extLst>
        </c:ser>
        <c:dLbls>
          <c:showLegendKey val="0"/>
          <c:showVal val="0"/>
          <c:showCatName val="0"/>
          <c:showSerName val="0"/>
          <c:showPercent val="0"/>
          <c:showBubbleSize val="0"/>
        </c:dLbls>
        <c:marker val="1"/>
        <c:smooth val="0"/>
        <c:axId val="2049155247"/>
        <c:axId val="2049153167"/>
      </c:lineChart>
      <c:lineChart>
        <c:grouping val="stacked"/>
        <c:varyColors val="0"/>
        <c:ser>
          <c:idx val="1"/>
          <c:order val="1"/>
          <c:tx>
            <c:strRef>
              <c:f>IND!$E$2</c:f>
              <c:strCache>
                <c:ptCount val="1"/>
                <c:pt idx="0">
                  <c:v> Real Military Expenditure </c:v>
                </c:pt>
              </c:strCache>
            </c:strRef>
          </c:tx>
          <c:spPr>
            <a:ln w="15875" cap="rnd">
              <a:solidFill>
                <a:schemeClr val="accent2"/>
              </a:solidFill>
              <a:round/>
            </a:ln>
            <a:effectLst/>
          </c:spPr>
          <c:marker>
            <c:symbol val="circle"/>
            <c:size val="5"/>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marker>
          <c:cat>
            <c:numRef>
              <c:f>IND!$C$3:$C$26</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IND!$E$3:$E$26</c:f>
              <c:numCache>
                <c:formatCode>_(* #,##0.00_);_(* \(#,##0.00\);_(* "-"??_);_(@_)</c:formatCode>
                <c:ptCount val="24"/>
                <c:pt idx="0">
                  <c:v>21612008811090.41</c:v>
                </c:pt>
                <c:pt idx="1">
                  <c:v>19214338189828.477</c:v>
                </c:pt>
                <c:pt idx="2">
                  <c:v>23225424355594.758</c:v>
                </c:pt>
                <c:pt idx="3">
                  <c:v>31230136878892.859</c:v>
                </c:pt>
                <c:pt idx="4">
                  <c:v>34915408444968.91</c:v>
                </c:pt>
                <c:pt idx="5">
                  <c:v>30325461594855.867</c:v>
                </c:pt>
                <c:pt idx="6">
                  <c:v>30793477515436.57</c:v>
                </c:pt>
                <c:pt idx="7">
                  <c:v>37029870997447.445</c:v>
                </c:pt>
                <c:pt idx="8">
                  <c:v>34404219331558.668</c:v>
                </c:pt>
                <c:pt idx="9">
                  <c:v>36095726261956.523</c:v>
                </c:pt>
                <c:pt idx="10">
                  <c:v>42392000000000</c:v>
                </c:pt>
                <c:pt idx="11">
                  <c:v>48599013605886.617</c:v>
                </c:pt>
                <c:pt idx="12">
                  <c:v>55800422340177.75</c:v>
                </c:pt>
                <c:pt idx="13">
                  <c:v>75021051140459.422</c:v>
                </c:pt>
                <c:pt idx="14">
                  <c:v>66098194998645.664</c:v>
                </c:pt>
                <c:pt idx="15">
                  <c:v>76864881283953.469</c:v>
                </c:pt>
                <c:pt idx="16">
                  <c:v>71732575347537.609</c:v>
                </c:pt>
                <c:pt idx="17">
                  <c:v>82695178763378.859</c:v>
                </c:pt>
                <c:pt idx="18">
                  <c:v>72705018671708.453</c:v>
                </c:pt>
                <c:pt idx="19">
                  <c:v>76302114691672.453</c:v>
                </c:pt>
                <c:pt idx="20">
                  <c:v>88830705461370</c:v>
                </c:pt>
                <c:pt idx="21">
                  <c:v>80446898859815.375</c:v>
                </c:pt>
                <c:pt idx="22">
                  <c:v>92253255250651.719</c:v>
                </c:pt>
                <c:pt idx="23">
                  <c:v>85336458099541.641</c:v>
                </c:pt>
              </c:numCache>
            </c:numRef>
          </c:val>
          <c:smooth val="0"/>
          <c:extLst>
            <c:ext xmlns:c16="http://schemas.microsoft.com/office/drawing/2014/chart" uri="{C3380CC4-5D6E-409C-BE32-E72D297353CC}">
              <c16:uniqueId val="{00000001-33EE-402F-8C9B-06CF9A9E66E8}"/>
            </c:ext>
          </c:extLst>
        </c:ser>
        <c:dLbls>
          <c:showLegendKey val="0"/>
          <c:showVal val="0"/>
          <c:showCatName val="0"/>
          <c:showSerName val="0"/>
          <c:showPercent val="0"/>
          <c:showBubbleSize val="0"/>
        </c:dLbls>
        <c:marker val="1"/>
        <c:smooth val="0"/>
        <c:axId val="2060243999"/>
        <c:axId val="2060246079"/>
      </c:lineChart>
      <c:catAx>
        <c:axId val="2049155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ysClr val="windowText" lastClr="000000"/>
                </a:solidFill>
                <a:latin typeface="Garamond" panose="02020404030301010803" pitchFamily="18" charset="0"/>
                <a:ea typeface="+mn-ea"/>
                <a:cs typeface="Arial" panose="020B0604020202020204" pitchFamily="34" charset="0"/>
              </a:defRPr>
            </a:pPr>
            <a:endParaRPr lang="en-US"/>
          </a:p>
        </c:txPr>
        <c:crossAx val="2049153167"/>
        <c:crosses val="autoZero"/>
        <c:auto val="1"/>
        <c:lblAlgn val="ctr"/>
        <c:lblOffset val="100"/>
        <c:tickLblSkip val="1"/>
        <c:noMultiLvlLbl val="0"/>
      </c:catAx>
      <c:valAx>
        <c:axId val="2049153167"/>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Arial" panose="020B0604020202020204" pitchFamily="34" charset="0"/>
              </a:defRPr>
            </a:pPr>
            <a:endParaRPr lang="en-US"/>
          </a:p>
        </c:txPr>
        <c:crossAx val="2049155247"/>
        <c:crosses val="autoZero"/>
        <c:crossBetween val="between"/>
        <c:dispUnits>
          <c:builtInUnit val="trillions"/>
          <c:dispUnitsLbl>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Garamond" panose="02020404030301010803" pitchFamily="18" charset="0"/>
                    <a:ea typeface="+mn-ea"/>
                    <a:cs typeface="Arial" panose="020B0604020202020204" pitchFamily="34" charset="0"/>
                  </a:defRPr>
                </a:pPr>
                <a:endParaRPr lang="en-US"/>
              </a:p>
            </c:txPr>
          </c:dispUnitsLbl>
        </c:dispUnits>
      </c:valAx>
      <c:valAx>
        <c:axId val="2060246079"/>
        <c:scaling>
          <c:orientation val="minMax"/>
        </c:scaling>
        <c:delete val="0"/>
        <c:axPos val="r"/>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Arial" panose="020B0604020202020204" pitchFamily="34" charset="0"/>
              </a:defRPr>
            </a:pPr>
            <a:endParaRPr lang="en-US"/>
          </a:p>
        </c:txPr>
        <c:crossAx val="2060243999"/>
        <c:crosses val="max"/>
        <c:crossBetween val="between"/>
        <c:dispUnits>
          <c:builtInUnit val="trillions"/>
          <c:dispUnitsLbl>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Garamond" panose="02020404030301010803" pitchFamily="18" charset="0"/>
                    <a:ea typeface="+mn-ea"/>
                    <a:cs typeface="Arial" panose="020B0604020202020204" pitchFamily="34" charset="0"/>
                  </a:defRPr>
                </a:pPr>
                <a:endParaRPr lang="en-US"/>
              </a:p>
            </c:txPr>
          </c:dispUnitsLbl>
        </c:dispUnits>
      </c:valAx>
      <c:catAx>
        <c:axId val="2060243999"/>
        <c:scaling>
          <c:orientation val="minMax"/>
        </c:scaling>
        <c:delete val="1"/>
        <c:axPos val="b"/>
        <c:numFmt formatCode="General" sourceLinked="1"/>
        <c:majorTickMark val="none"/>
        <c:minorTickMark val="none"/>
        <c:tickLblPos val="nextTo"/>
        <c:crossAx val="20602460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Garamond" panose="02020404030301010803" pitchFamily="18"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Garamond" panose="02020404030301010803" pitchFamily="18"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Pages>
  <Words>13306</Words>
  <Characters>75847</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Shaghi Ratu Sa'bani</cp:lastModifiedBy>
  <cp:revision>81</cp:revision>
  <cp:lastPrinted>2024-09-02T13:38:00Z</cp:lastPrinted>
  <dcterms:created xsi:type="dcterms:W3CDTF">2025-11-12T10:34:00Z</dcterms:created>
  <dcterms:modified xsi:type="dcterms:W3CDTF">2025-11-14T07:30:00Z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fd112841-f3cc-3a73-8aeb-6214ff052c6a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