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DDDD" w14:textId="324D2CD6" w:rsidR="008657CC" w:rsidRPr="008657CC" w:rsidRDefault="00357DD1" w:rsidP="008657CC">
      <w:pPr>
        <w:pStyle w:val="Title"/>
      </w:pPr>
      <w:r>
        <w:t>Sharia</w:t>
      </w:r>
      <w:r w:rsidR="008657CC" w:rsidRPr="008657CC">
        <w:t xml:space="preserve"> Global Trade and Sustainable Economic Growth: A </w:t>
      </w:r>
      <w:r w:rsidR="00BC1327">
        <w:t>Narrative</w:t>
      </w:r>
      <w:r w:rsidR="008657CC" w:rsidRPr="008657CC">
        <w:t xml:space="preserve"> Review of Justice Principles and Ethical Business </w:t>
      </w:r>
    </w:p>
    <w:p w14:paraId="30040AAE" w14:textId="77777777" w:rsidR="005D0287" w:rsidRPr="005D0287" w:rsidRDefault="005D0287" w:rsidP="005D0287">
      <w:pPr>
        <w:pStyle w:val="Title"/>
      </w:pPr>
    </w:p>
    <w:p w14:paraId="08CDE1D7" w14:textId="5F61E6E1" w:rsidR="005D0287" w:rsidRDefault="005D0287" w:rsidP="005D0287">
      <w:pPr>
        <w:jc w:val="center"/>
        <w:rPr>
          <w:b/>
          <w:bCs/>
          <w:sz w:val="24"/>
          <w:szCs w:val="24"/>
          <w:vertAlign w:val="superscript"/>
        </w:rPr>
      </w:pPr>
      <w:r w:rsidRPr="005D0287">
        <w:rPr>
          <w:b/>
          <w:bCs/>
          <w:sz w:val="24"/>
          <w:szCs w:val="24"/>
        </w:rPr>
        <w:t>Arrizqah Bariroh</w:t>
      </w:r>
      <w:r w:rsidRPr="005D0287">
        <w:rPr>
          <w:b/>
          <w:bCs/>
          <w:sz w:val="24"/>
          <w:szCs w:val="24"/>
          <w:vertAlign w:val="superscript"/>
        </w:rPr>
        <w:t>1</w:t>
      </w:r>
      <w:r w:rsidRPr="005D0287">
        <w:rPr>
          <w:b/>
          <w:bCs/>
          <w:sz w:val="24"/>
          <w:szCs w:val="24"/>
        </w:rPr>
        <w:t>, Nur Kholis</w:t>
      </w:r>
      <w:r w:rsidRPr="005D0287">
        <w:rPr>
          <w:b/>
          <w:bCs/>
          <w:sz w:val="24"/>
          <w:szCs w:val="24"/>
          <w:vertAlign w:val="superscript"/>
        </w:rPr>
        <w:t>2</w:t>
      </w:r>
      <w:r w:rsidR="00301454">
        <w:rPr>
          <w:b/>
          <w:bCs/>
          <w:sz w:val="24"/>
          <w:szCs w:val="24"/>
          <w:vertAlign w:val="superscript"/>
        </w:rPr>
        <w:t>*</w:t>
      </w:r>
    </w:p>
    <w:p w14:paraId="6D06533B" w14:textId="77777777" w:rsidR="005D0287" w:rsidRPr="005D0287" w:rsidRDefault="005D0287" w:rsidP="005D0287">
      <w:pPr>
        <w:jc w:val="center"/>
        <w:rPr>
          <w:b/>
          <w:bCs/>
          <w:sz w:val="24"/>
          <w:szCs w:val="24"/>
        </w:rPr>
      </w:pPr>
    </w:p>
    <w:p w14:paraId="1284B425" w14:textId="5CF7475C" w:rsidR="005D0287" w:rsidRDefault="005D0287" w:rsidP="005D0287">
      <w:pPr>
        <w:jc w:val="center"/>
        <w:rPr>
          <w:sz w:val="24"/>
          <w:szCs w:val="24"/>
        </w:rPr>
      </w:pPr>
      <w:r w:rsidRPr="005D0287">
        <w:rPr>
          <w:sz w:val="24"/>
          <w:szCs w:val="24"/>
          <w:vertAlign w:val="superscript"/>
        </w:rPr>
        <w:t>1</w:t>
      </w:r>
      <w:r>
        <w:rPr>
          <w:sz w:val="24"/>
          <w:szCs w:val="24"/>
        </w:rPr>
        <w:t xml:space="preserve">Master of </w:t>
      </w:r>
      <w:r w:rsidR="007B2DD5">
        <w:rPr>
          <w:sz w:val="24"/>
          <w:szCs w:val="24"/>
        </w:rPr>
        <w:t>Sharia</w:t>
      </w:r>
      <w:r>
        <w:rPr>
          <w:sz w:val="24"/>
          <w:szCs w:val="24"/>
        </w:rPr>
        <w:t xml:space="preserve"> Economics, F</w:t>
      </w:r>
      <w:r w:rsidRPr="005D0287">
        <w:rPr>
          <w:sz w:val="24"/>
          <w:szCs w:val="24"/>
        </w:rPr>
        <w:t>aculty of Islamic Economics and Business, Sunan Ampel State Islamic University</w:t>
      </w:r>
      <w:r>
        <w:rPr>
          <w:sz w:val="24"/>
          <w:szCs w:val="24"/>
        </w:rPr>
        <w:t xml:space="preserve">, </w:t>
      </w:r>
      <w:r w:rsidRPr="005D0287">
        <w:rPr>
          <w:sz w:val="24"/>
          <w:szCs w:val="24"/>
        </w:rPr>
        <w:t>Jl. Ahmad Yani No.117, Jemur Wonosari, Wonocolo, Surabaya, Jawa Timur 60237</w:t>
      </w:r>
      <w:r>
        <w:rPr>
          <w:sz w:val="24"/>
          <w:szCs w:val="24"/>
        </w:rPr>
        <w:t>, Indonesia</w:t>
      </w:r>
    </w:p>
    <w:p w14:paraId="1A43DDB7" w14:textId="77777777" w:rsidR="005D0287" w:rsidRDefault="005D0287" w:rsidP="005D0287">
      <w:pPr>
        <w:jc w:val="center"/>
        <w:rPr>
          <w:sz w:val="24"/>
          <w:szCs w:val="24"/>
        </w:rPr>
      </w:pPr>
      <w:r w:rsidRPr="005D0287">
        <w:rPr>
          <w:sz w:val="24"/>
          <w:szCs w:val="24"/>
          <w:vertAlign w:val="superscript"/>
        </w:rPr>
        <w:t>2</w:t>
      </w:r>
      <w:r>
        <w:rPr>
          <w:sz w:val="24"/>
          <w:szCs w:val="24"/>
        </w:rPr>
        <w:t>Professor of Business Management, F</w:t>
      </w:r>
      <w:r w:rsidRPr="005D0287">
        <w:rPr>
          <w:sz w:val="24"/>
          <w:szCs w:val="24"/>
        </w:rPr>
        <w:t>aculty of Islamic Economics and Business, Sunan Ampel State Islamic University</w:t>
      </w:r>
      <w:r>
        <w:rPr>
          <w:sz w:val="24"/>
          <w:szCs w:val="24"/>
        </w:rPr>
        <w:t xml:space="preserve">, </w:t>
      </w:r>
      <w:r w:rsidRPr="005D0287">
        <w:rPr>
          <w:sz w:val="24"/>
          <w:szCs w:val="24"/>
        </w:rPr>
        <w:t>Jl. Ahmad Yani No.117, Jemur Wonosari, Wonocolo, Surabaya, Jawa Timur 60237</w:t>
      </w:r>
      <w:r>
        <w:rPr>
          <w:sz w:val="24"/>
          <w:szCs w:val="24"/>
        </w:rPr>
        <w:t>, Indonesia</w:t>
      </w:r>
    </w:p>
    <w:p w14:paraId="4CE86F64" w14:textId="49E332C2" w:rsidR="005D0287" w:rsidRDefault="005D0287" w:rsidP="005D0287">
      <w:pPr>
        <w:spacing w:line="269" w:lineRule="exact"/>
        <w:ind w:left="2"/>
        <w:jc w:val="center"/>
        <w:rPr>
          <w:i/>
          <w:sz w:val="24"/>
        </w:rPr>
      </w:pPr>
      <w:r>
        <w:rPr>
          <w:i/>
          <w:sz w:val="24"/>
        </w:rPr>
        <w:t>e-mail:</w:t>
      </w:r>
      <w:r>
        <w:rPr>
          <w:i/>
          <w:spacing w:val="-1"/>
          <w:sz w:val="24"/>
        </w:rPr>
        <w:t xml:space="preserve"> </w:t>
      </w:r>
      <w:r w:rsidR="000839A1" w:rsidRPr="000839A1">
        <w:rPr>
          <w:i/>
          <w:spacing w:val="-1"/>
          <w:sz w:val="24"/>
          <w:vertAlign w:val="superscript"/>
        </w:rPr>
        <w:t>1</w:t>
      </w:r>
      <w:r w:rsidR="000839A1" w:rsidRPr="000839A1">
        <w:rPr>
          <w:i/>
          <w:iCs/>
          <w:sz w:val="24"/>
          <w:szCs w:val="24"/>
        </w:rPr>
        <w:t>arrizqahbrrh@gmail.com</w:t>
      </w:r>
      <w:r w:rsidR="000839A1">
        <w:rPr>
          <w:i/>
          <w:iCs/>
          <w:sz w:val="24"/>
          <w:szCs w:val="24"/>
        </w:rPr>
        <w:t xml:space="preserve">,  </w:t>
      </w:r>
      <w:r w:rsidR="000839A1" w:rsidRPr="000839A1">
        <w:rPr>
          <w:i/>
          <w:iCs/>
          <w:sz w:val="24"/>
          <w:szCs w:val="24"/>
          <w:vertAlign w:val="superscript"/>
        </w:rPr>
        <w:t>2</w:t>
      </w:r>
      <w:r w:rsidR="00301454">
        <w:rPr>
          <w:i/>
          <w:iCs/>
          <w:sz w:val="24"/>
          <w:szCs w:val="24"/>
          <w:vertAlign w:val="superscript"/>
        </w:rPr>
        <w:t>*</w:t>
      </w:r>
      <w:r w:rsidR="000839A1">
        <w:rPr>
          <w:i/>
          <w:iCs/>
          <w:sz w:val="24"/>
          <w:szCs w:val="24"/>
        </w:rPr>
        <w:t>nurkholis@uinsa.ac.id</w:t>
      </w:r>
    </w:p>
    <w:p w14:paraId="75E0D041" w14:textId="77777777" w:rsidR="00DD0758" w:rsidRDefault="00DD0758">
      <w:pPr>
        <w:pStyle w:val="BodyText"/>
        <w:jc w:val="left"/>
        <w:rPr>
          <w:i/>
        </w:rPr>
      </w:pPr>
    </w:p>
    <w:p w14:paraId="3F22D6FF" w14:textId="77777777" w:rsidR="00DD0758" w:rsidRDefault="00DD0758">
      <w:pPr>
        <w:pStyle w:val="BodyText"/>
        <w:jc w:val="left"/>
        <w:rPr>
          <w:i/>
        </w:rPr>
      </w:pPr>
    </w:p>
    <w:p w14:paraId="061EC797" w14:textId="77777777" w:rsidR="00DD0758" w:rsidRDefault="00000000" w:rsidP="00357DD1">
      <w:pPr>
        <w:pStyle w:val="Heading1"/>
      </w:pPr>
      <w:r>
        <w:t>ABSTRACT</w:t>
      </w:r>
    </w:p>
    <w:p w14:paraId="65DB9F8E" w14:textId="77777777" w:rsidR="00DD0758" w:rsidRDefault="00DD0758">
      <w:pPr>
        <w:pStyle w:val="BodyText"/>
        <w:jc w:val="left"/>
        <w:rPr>
          <w:b/>
        </w:rPr>
      </w:pPr>
    </w:p>
    <w:p w14:paraId="12D02842" w14:textId="5A6A9112" w:rsidR="00F04188" w:rsidRPr="00801D73" w:rsidRDefault="00801D73" w:rsidP="00801D73">
      <w:pPr>
        <w:jc w:val="both"/>
        <w:rPr>
          <w:sz w:val="24"/>
          <w:szCs w:val="24"/>
        </w:rPr>
      </w:pPr>
      <w:r>
        <w:rPr>
          <w:sz w:val="24"/>
          <w:szCs w:val="24"/>
        </w:rPr>
        <w:t>T</w:t>
      </w:r>
      <w:r w:rsidRPr="00801D73">
        <w:rPr>
          <w:sz w:val="24"/>
          <w:szCs w:val="24"/>
        </w:rPr>
        <w:t xml:space="preserve">his study </w:t>
      </w:r>
      <w:r>
        <w:rPr>
          <w:sz w:val="24"/>
          <w:szCs w:val="24"/>
        </w:rPr>
        <w:t xml:space="preserve">aims </w:t>
      </w:r>
      <w:r w:rsidRPr="00801D73">
        <w:rPr>
          <w:sz w:val="24"/>
          <w:szCs w:val="24"/>
        </w:rPr>
        <w:t xml:space="preserve">to consolidate and evaluate existing </w:t>
      </w:r>
      <w:r>
        <w:rPr>
          <w:sz w:val="24"/>
          <w:szCs w:val="24"/>
        </w:rPr>
        <w:t>literature</w:t>
      </w:r>
      <w:r w:rsidRPr="00801D73">
        <w:rPr>
          <w:sz w:val="24"/>
          <w:szCs w:val="24"/>
        </w:rPr>
        <w:t xml:space="preserve"> on the incorporation of Shariah principles into global trade and their potential role in fostering sustainable economic development. </w:t>
      </w:r>
      <w:r>
        <w:rPr>
          <w:sz w:val="24"/>
          <w:szCs w:val="24"/>
        </w:rPr>
        <w:t>The study e</w:t>
      </w:r>
      <w:r w:rsidRPr="00801D73">
        <w:rPr>
          <w:sz w:val="24"/>
          <w:szCs w:val="24"/>
        </w:rPr>
        <w:t>mploy</w:t>
      </w:r>
      <w:r>
        <w:rPr>
          <w:sz w:val="24"/>
          <w:szCs w:val="24"/>
        </w:rPr>
        <w:t xml:space="preserve">s </w:t>
      </w:r>
      <w:r w:rsidRPr="00801D73">
        <w:rPr>
          <w:sz w:val="24"/>
          <w:szCs w:val="24"/>
        </w:rPr>
        <w:t>a narrative review methodology</w:t>
      </w:r>
      <w:r>
        <w:rPr>
          <w:sz w:val="24"/>
          <w:szCs w:val="24"/>
        </w:rPr>
        <w:t xml:space="preserve"> to s</w:t>
      </w:r>
      <w:r w:rsidRPr="00801D73">
        <w:rPr>
          <w:sz w:val="24"/>
          <w:szCs w:val="24"/>
        </w:rPr>
        <w:t>ynthesiz</w:t>
      </w:r>
      <w:r>
        <w:rPr>
          <w:sz w:val="24"/>
          <w:szCs w:val="24"/>
        </w:rPr>
        <w:t>e</w:t>
      </w:r>
      <w:r w:rsidRPr="00801D73">
        <w:rPr>
          <w:sz w:val="24"/>
          <w:szCs w:val="24"/>
        </w:rPr>
        <w:t xml:space="preserve"> academic articles, books, policy reports, and case studies published between 201</w:t>
      </w:r>
      <w:r w:rsidR="00E90D03">
        <w:rPr>
          <w:sz w:val="24"/>
          <w:szCs w:val="24"/>
        </w:rPr>
        <w:t>8</w:t>
      </w:r>
      <w:r w:rsidRPr="00801D73">
        <w:rPr>
          <w:sz w:val="24"/>
          <w:szCs w:val="24"/>
        </w:rPr>
        <w:t xml:space="preserve"> and 2025</w:t>
      </w:r>
      <w:r>
        <w:rPr>
          <w:sz w:val="24"/>
          <w:szCs w:val="24"/>
        </w:rPr>
        <w:t>. T</w:t>
      </w:r>
      <w:r w:rsidRPr="00801D73">
        <w:rPr>
          <w:sz w:val="24"/>
          <w:szCs w:val="24"/>
        </w:rPr>
        <w:t>hematic analy</w:t>
      </w:r>
      <w:r>
        <w:rPr>
          <w:sz w:val="24"/>
          <w:szCs w:val="24"/>
        </w:rPr>
        <w:t xml:space="preserve">is was applied </w:t>
      </w:r>
      <w:r w:rsidRPr="00801D73">
        <w:rPr>
          <w:sz w:val="24"/>
          <w:szCs w:val="24"/>
        </w:rPr>
        <w:t>to identify the alignment between Shariah principles—justice (</w:t>
      </w:r>
      <w:r w:rsidRPr="00801D73">
        <w:rPr>
          <w:rStyle w:val="Emphasis"/>
          <w:sz w:val="24"/>
          <w:szCs w:val="24"/>
        </w:rPr>
        <w:t>al-</w:t>
      </w:r>
      <w:r w:rsidRPr="00801D73">
        <w:rPr>
          <w:rStyle w:val="Emphasis"/>
          <w:rFonts w:ascii="Times New Roman" w:hAnsi="Times New Roman" w:cs="Times New Roman"/>
          <w:sz w:val="24"/>
          <w:szCs w:val="24"/>
        </w:rPr>
        <w:t>ʿ</w:t>
      </w:r>
      <w:r w:rsidRPr="00801D73">
        <w:rPr>
          <w:rStyle w:val="Emphasis"/>
          <w:sz w:val="24"/>
          <w:szCs w:val="24"/>
        </w:rPr>
        <w:t>adl</w:t>
      </w:r>
      <w:r w:rsidRPr="00801D73">
        <w:rPr>
          <w:sz w:val="24"/>
          <w:szCs w:val="24"/>
        </w:rPr>
        <w:t>), transparency (</w:t>
      </w:r>
      <w:r w:rsidRPr="00801D73">
        <w:rPr>
          <w:rStyle w:val="Emphasis"/>
          <w:sz w:val="24"/>
          <w:szCs w:val="24"/>
        </w:rPr>
        <w:t>al-shafāfiyyah</w:t>
      </w:r>
      <w:r w:rsidRPr="00801D73">
        <w:rPr>
          <w:sz w:val="24"/>
          <w:szCs w:val="24"/>
        </w:rPr>
        <w:t xml:space="preserve">), prohibition of </w:t>
      </w:r>
      <w:r w:rsidRPr="00801D73">
        <w:rPr>
          <w:rStyle w:val="Emphasis"/>
          <w:sz w:val="24"/>
          <w:szCs w:val="24"/>
        </w:rPr>
        <w:t>riba</w:t>
      </w:r>
      <w:r w:rsidRPr="00801D73">
        <w:rPr>
          <w:sz w:val="24"/>
          <w:szCs w:val="24"/>
        </w:rPr>
        <w:t xml:space="preserve">, </w:t>
      </w:r>
      <w:r w:rsidRPr="00801D73">
        <w:rPr>
          <w:rStyle w:val="Emphasis"/>
          <w:sz w:val="24"/>
          <w:szCs w:val="24"/>
        </w:rPr>
        <w:t>gharar</w:t>
      </w:r>
      <w:r w:rsidRPr="00801D73">
        <w:rPr>
          <w:sz w:val="24"/>
          <w:szCs w:val="24"/>
        </w:rPr>
        <w:t xml:space="preserve">, and </w:t>
      </w:r>
      <w:r w:rsidRPr="00801D73">
        <w:rPr>
          <w:rStyle w:val="Emphasis"/>
          <w:sz w:val="24"/>
          <w:szCs w:val="24"/>
        </w:rPr>
        <w:t>maysir</w:t>
      </w:r>
      <w:r w:rsidRPr="00801D73">
        <w:rPr>
          <w:sz w:val="24"/>
          <w:szCs w:val="24"/>
        </w:rPr>
        <w:t xml:space="preserve">, as well as adherence to </w:t>
      </w:r>
      <w:r w:rsidRPr="00801D73">
        <w:rPr>
          <w:rStyle w:val="Emphasis"/>
          <w:sz w:val="24"/>
          <w:szCs w:val="24"/>
        </w:rPr>
        <w:t>halal</w:t>
      </w:r>
      <w:r w:rsidRPr="00801D73">
        <w:rPr>
          <w:sz w:val="24"/>
          <w:szCs w:val="24"/>
        </w:rPr>
        <w:t xml:space="preserve"> and </w:t>
      </w:r>
      <w:r w:rsidRPr="00801D73">
        <w:rPr>
          <w:rStyle w:val="Emphasis"/>
          <w:sz w:val="24"/>
          <w:szCs w:val="24"/>
        </w:rPr>
        <w:t>thayyib</w:t>
      </w:r>
      <w:r w:rsidRPr="00801D73">
        <w:rPr>
          <w:sz w:val="24"/>
          <w:szCs w:val="24"/>
        </w:rPr>
        <w:t xml:space="preserve"> standards—and the United Nations Sustainable Development Goals (SDGs), notably SDG 8 (inclusive growth), SDG 10 (reduced inequalities), SDG 12 (responsible consumption and production), and SDG 16 (peace, justice, and strong institutions). </w:t>
      </w:r>
      <w:r>
        <w:rPr>
          <w:sz w:val="24"/>
          <w:szCs w:val="24"/>
        </w:rPr>
        <w:t xml:space="preserve">Results show that there are great </w:t>
      </w:r>
      <w:r w:rsidRPr="00801D73">
        <w:rPr>
          <w:sz w:val="24"/>
          <w:szCs w:val="24"/>
        </w:rPr>
        <w:t xml:space="preserve">opportunities in the growing halal market, blockchain-enabled halal supply chain innovations, and cross-border halal certification standardization. </w:t>
      </w:r>
      <w:r>
        <w:rPr>
          <w:sz w:val="24"/>
          <w:szCs w:val="24"/>
        </w:rPr>
        <w:t>In addition, c</w:t>
      </w:r>
      <w:r w:rsidRPr="00801D73">
        <w:rPr>
          <w:sz w:val="24"/>
          <w:szCs w:val="24"/>
        </w:rPr>
        <w:t xml:space="preserve">ase examples from the Islamic Development Bank (IsDB) and Nestlé </w:t>
      </w:r>
      <w:r>
        <w:rPr>
          <w:sz w:val="24"/>
          <w:szCs w:val="24"/>
        </w:rPr>
        <w:t xml:space="preserve">suggest that </w:t>
      </w:r>
      <w:r w:rsidRPr="00801D73">
        <w:rPr>
          <w:sz w:val="24"/>
          <w:szCs w:val="24"/>
        </w:rPr>
        <w:t xml:space="preserve">Shariah-compliant practices can enhance fairness, market access, and social welfare, while also revealing challenges such as regulatory fragmentation, limited global awareness of Islamic economics, and infrastructure deficiencies. </w:t>
      </w:r>
      <w:r>
        <w:rPr>
          <w:sz w:val="24"/>
          <w:szCs w:val="24"/>
        </w:rPr>
        <w:t xml:space="preserve">This study contributes to </w:t>
      </w:r>
      <w:r w:rsidRPr="00801D73">
        <w:rPr>
          <w:sz w:val="24"/>
          <w:szCs w:val="24"/>
        </w:rPr>
        <w:t xml:space="preserve">the development of an integrated framework connecting Shariah economic principles with SDG objectives in </w:t>
      </w:r>
      <w:r>
        <w:rPr>
          <w:sz w:val="24"/>
          <w:szCs w:val="24"/>
        </w:rPr>
        <w:t>internation</w:t>
      </w:r>
      <w:r w:rsidRPr="00801D73">
        <w:rPr>
          <w:sz w:val="24"/>
          <w:szCs w:val="24"/>
        </w:rPr>
        <w:t>al trade policy</w:t>
      </w:r>
      <w:r>
        <w:rPr>
          <w:sz w:val="24"/>
          <w:szCs w:val="24"/>
        </w:rPr>
        <w:t xml:space="preserve"> by </w:t>
      </w:r>
      <w:r w:rsidRPr="00801D73">
        <w:rPr>
          <w:sz w:val="24"/>
          <w:szCs w:val="24"/>
        </w:rPr>
        <w:t>offering a conceptual guide for policymakers, trade institutions, and multinational corporations. Future research should pursue sector-specific empirical applications, design quantitative models to assess the impacts of Shariah-compliant trade on sustainable development outcomes, and explore technological innovations to bridge Islamic economic ethics with global sustainability imperatives.</w:t>
      </w:r>
    </w:p>
    <w:p w14:paraId="091877AC" w14:textId="77777777" w:rsidR="00801D73" w:rsidRPr="00801D73" w:rsidRDefault="00801D73" w:rsidP="00801D73">
      <w:pPr>
        <w:jc w:val="both"/>
        <w:rPr>
          <w:sz w:val="24"/>
          <w:szCs w:val="24"/>
        </w:rPr>
      </w:pPr>
    </w:p>
    <w:p w14:paraId="3DCCF2C7" w14:textId="77777777" w:rsidR="008657CC" w:rsidRDefault="008657CC" w:rsidP="004F179A">
      <w:r w:rsidRPr="008657CC">
        <w:rPr>
          <w:b/>
          <w:bCs/>
        </w:rPr>
        <w:t>Keywords:</w:t>
      </w:r>
      <w:r w:rsidRPr="008657CC">
        <w:t xml:space="preserve"> Shariah-based global trade, Sustainable Development Goals (SDGs), Islamic economics, Business ethics, Economic justice</w:t>
      </w:r>
    </w:p>
    <w:p w14:paraId="1B3DEE14" w14:textId="77777777" w:rsidR="00F04188" w:rsidRDefault="00F04188" w:rsidP="008657CC">
      <w:pPr>
        <w:pStyle w:val="BodyText"/>
        <w:ind w:left="86" w:right="76"/>
      </w:pPr>
    </w:p>
    <w:p w14:paraId="46BF1C33" w14:textId="77777777" w:rsidR="00DD0758" w:rsidRDefault="00000000">
      <w:pPr>
        <w:pStyle w:val="BodyText"/>
        <w:spacing w:before="20"/>
        <w:jc w:val="left"/>
        <w:rPr>
          <w:sz w:val="20"/>
        </w:rPr>
      </w:pPr>
      <w:r>
        <w:rPr>
          <w:noProof/>
          <w:sz w:val="20"/>
        </w:rPr>
        <w:drawing>
          <wp:anchor distT="0" distB="0" distL="0" distR="0" simplePos="0" relativeHeight="251658752" behindDoc="1" locked="0" layoutInCell="1" allowOverlap="1" wp14:anchorId="555251BF" wp14:editId="0B843DBB">
            <wp:simplePos x="0" y="0"/>
            <wp:positionH relativeFrom="page">
              <wp:posOffset>3130550</wp:posOffset>
            </wp:positionH>
            <wp:positionV relativeFrom="paragraph">
              <wp:posOffset>1064108</wp:posOffset>
            </wp:positionV>
            <wp:extent cx="1376825" cy="310895"/>
            <wp:effectExtent l="0" t="0" r="0" b="0"/>
            <wp:wrapTopAndBottom/>
            <wp:docPr id="7" name="Image 7" descr="A blue text on a black backgrou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blue text on a black background  Description automatically generated"/>
                    <pic:cNvPicPr/>
                  </pic:nvPicPr>
                  <pic:blipFill>
                    <a:blip r:embed="rId7" cstate="print"/>
                    <a:stretch>
                      <a:fillRect/>
                    </a:stretch>
                  </pic:blipFill>
                  <pic:spPr>
                    <a:xfrm>
                      <a:off x="0" y="0"/>
                      <a:ext cx="1376825" cy="310895"/>
                    </a:xfrm>
                    <a:prstGeom prst="rect">
                      <a:avLst/>
                    </a:prstGeom>
                  </pic:spPr>
                </pic:pic>
              </a:graphicData>
            </a:graphic>
          </wp:anchor>
        </w:drawing>
      </w:r>
    </w:p>
    <w:p w14:paraId="2CA9AB6B" w14:textId="77777777" w:rsidR="00DD0758" w:rsidRDefault="00DD0758">
      <w:pPr>
        <w:pStyle w:val="BodyText"/>
        <w:jc w:val="left"/>
        <w:rPr>
          <w:sz w:val="20"/>
        </w:rPr>
        <w:sectPr w:rsidR="00DD0758" w:rsidSect="00B85E10">
          <w:headerReference w:type="default" r:id="rId8"/>
          <w:footerReference w:type="default" r:id="rId9"/>
          <w:type w:val="continuous"/>
          <w:pgSz w:w="11900" w:h="16850"/>
          <w:pgMar w:top="1440" w:right="1077" w:bottom="1440" w:left="1077" w:header="697" w:footer="1051" w:gutter="0"/>
          <w:pgNumType w:start="1"/>
          <w:cols w:space="720"/>
        </w:sectPr>
      </w:pPr>
    </w:p>
    <w:p w14:paraId="3349C7DF" w14:textId="543BF028" w:rsidR="00DD0758" w:rsidRPr="00B85E10" w:rsidRDefault="002E5D85" w:rsidP="00885211">
      <w:pPr>
        <w:pStyle w:val="Heading3"/>
      </w:pPr>
      <w:r w:rsidRPr="002E5D85">
        <w:lastRenderedPageBreak/>
        <w:t>Acknowledgments</w:t>
      </w:r>
    </w:p>
    <w:p w14:paraId="66EDC245" w14:textId="77777777" w:rsidR="00537049" w:rsidRDefault="00537049" w:rsidP="00537049">
      <w:pPr>
        <w:jc w:val="both"/>
        <w:rPr>
          <w:sz w:val="24"/>
          <w:szCs w:val="24"/>
        </w:rPr>
      </w:pPr>
      <w:r w:rsidRPr="00537049">
        <w:rPr>
          <w:sz w:val="24"/>
          <w:szCs w:val="24"/>
        </w:rPr>
        <w:t>Arrizqah Bariroh conceptualized the research idea, developed the narrative review protocol, conducted the literature search and screening, performed the thematic analysis, and prepared the initial manuscript draft. Prof. Nur Kholis, M.Ed.Admin., Ph.D., provided overall supervision, guided the methodological framework, contributed to the interpretation of the findings, and critically reviewed and refined the manuscript for intellectual rigor. Both authors read and approved the final version of the manuscript and accept responsibility for the integrity and accuracy of the work in its entirety.</w:t>
      </w:r>
    </w:p>
    <w:p w14:paraId="2F7E4031" w14:textId="4A42C86D" w:rsidR="00DD0758" w:rsidRPr="00537049" w:rsidRDefault="00000000" w:rsidP="00885211">
      <w:pPr>
        <w:pStyle w:val="Heading3"/>
      </w:pPr>
      <w:r w:rsidRPr="00537049">
        <w:t>Disclosure</w:t>
      </w:r>
      <w:r w:rsidRPr="00537049">
        <w:rPr>
          <w:spacing w:val="-2"/>
        </w:rPr>
        <w:t xml:space="preserve"> statement</w:t>
      </w:r>
    </w:p>
    <w:p w14:paraId="1971662E" w14:textId="77777777" w:rsidR="00DD0758" w:rsidRDefault="00000000" w:rsidP="00B85E10">
      <w:pPr>
        <w:pStyle w:val="BodyText"/>
        <w:spacing w:before="201"/>
      </w:pPr>
      <w:r>
        <w:t>No</w:t>
      </w:r>
      <w:r>
        <w:rPr>
          <w:spacing w:val="-3"/>
        </w:rPr>
        <w:t xml:space="preserve"> </w:t>
      </w:r>
      <w:r>
        <w:t>potential</w:t>
      </w:r>
      <w:r>
        <w:rPr>
          <w:spacing w:val="-2"/>
        </w:rPr>
        <w:t xml:space="preserve"> </w:t>
      </w:r>
      <w:r>
        <w:t>conflict</w:t>
      </w:r>
      <w:r>
        <w:rPr>
          <w:spacing w:val="-2"/>
        </w:rPr>
        <w:t xml:space="preserve"> </w:t>
      </w:r>
      <w:r>
        <w:t>of</w:t>
      </w:r>
      <w:r>
        <w:rPr>
          <w:spacing w:val="-3"/>
        </w:rPr>
        <w:t xml:space="preserve"> </w:t>
      </w:r>
      <w:r>
        <w:t>interest</w:t>
      </w:r>
      <w:r>
        <w:rPr>
          <w:spacing w:val="-1"/>
        </w:rPr>
        <w:t xml:space="preserve"> </w:t>
      </w:r>
      <w:r>
        <w:t>was</w:t>
      </w:r>
      <w:r>
        <w:rPr>
          <w:spacing w:val="-1"/>
        </w:rPr>
        <w:t xml:space="preserve"> </w:t>
      </w:r>
      <w:r>
        <w:t>reported</w:t>
      </w:r>
      <w:r>
        <w:rPr>
          <w:spacing w:val="-2"/>
        </w:rPr>
        <w:t xml:space="preserve"> </w:t>
      </w:r>
      <w:r>
        <w:t>by</w:t>
      </w:r>
      <w:r>
        <w:rPr>
          <w:spacing w:val="-2"/>
        </w:rPr>
        <w:t xml:space="preserve"> </w:t>
      </w:r>
      <w:r>
        <w:t>the</w:t>
      </w:r>
      <w:r>
        <w:rPr>
          <w:spacing w:val="-4"/>
        </w:rPr>
        <w:t xml:space="preserve"> </w:t>
      </w:r>
      <w:r>
        <w:rPr>
          <w:spacing w:val="-2"/>
        </w:rPr>
        <w:t>author(s).</w:t>
      </w:r>
    </w:p>
    <w:p w14:paraId="2E69A60A" w14:textId="3F0D2F26" w:rsidR="00DD0758" w:rsidRPr="00537049" w:rsidRDefault="00000000" w:rsidP="00885211">
      <w:pPr>
        <w:pStyle w:val="Heading3"/>
      </w:pPr>
      <w:r w:rsidRPr="00537049">
        <w:t>Data</w:t>
      </w:r>
      <w:r w:rsidRPr="00537049">
        <w:rPr>
          <w:spacing w:val="-2"/>
        </w:rPr>
        <w:t xml:space="preserve"> </w:t>
      </w:r>
      <w:r w:rsidRPr="00537049">
        <w:t>availability</w:t>
      </w:r>
      <w:r w:rsidRPr="00537049">
        <w:rPr>
          <w:spacing w:val="-2"/>
        </w:rPr>
        <w:t xml:space="preserve"> statement</w:t>
      </w:r>
    </w:p>
    <w:p w14:paraId="6B9FB49D" w14:textId="77777777" w:rsidR="00911AEF" w:rsidRPr="00911AEF" w:rsidRDefault="00911AEF" w:rsidP="00911AEF">
      <w:pPr>
        <w:jc w:val="both"/>
        <w:rPr>
          <w:sz w:val="24"/>
          <w:szCs w:val="24"/>
        </w:rPr>
      </w:pPr>
      <w:r w:rsidRPr="00911AEF">
        <w:rPr>
          <w:sz w:val="24"/>
          <w:szCs w:val="24"/>
        </w:rPr>
        <w:t>The data in this study can be obtained upon request from the corresponding author for privacy concerns.</w:t>
      </w:r>
    </w:p>
    <w:p w14:paraId="57BCA4C7" w14:textId="3E464292" w:rsidR="00DD0758" w:rsidRPr="00537049" w:rsidRDefault="00000000" w:rsidP="00885211">
      <w:pPr>
        <w:pStyle w:val="Heading3"/>
      </w:pPr>
      <w:r w:rsidRPr="00537049">
        <w:t>Funding</w:t>
      </w:r>
    </w:p>
    <w:p w14:paraId="7B0A5A21" w14:textId="77777777" w:rsidR="00DD0758" w:rsidRDefault="00000000" w:rsidP="00B85E10">
      <w:pPr>
        <w:pStyle w:val="BodyText"/>
        <w:spacing w:before="201"/>
        <w:jc w:val="left"/>
        <w:rPr>
          <w:spacing w:val="-2"/>
        </w:rPr>
      </w:pPr>
      <w:r>
        <w:t>This</w:t>
      </w:r>
      <w:r>
        <w:rPr>
          <w:spacing w:val="-1"/>
        </w:rPr>
        <w:t xml:space="preserve"> </w:t>
      </w:r>
      <w:r>
        <w:t>research</w:t>
      </w:r>
      <w:r>
        <w:rPr>
          <w:spacing w:val="-3"/>
        </w:rPr>
        <w:t xml:space="preserve"> </w:t>
      </w:r>
      <w:r>
        <w:t>received</w:t>
      </w:r>
      <w:r>
        <w:rPr>
          <w:spacing w:val="-2"/>
        </w:rPr>
        <w:t xml:space="preserve"> </w:t>
      </w:r>
      <w:r>
        <w:t>no</w:t>
      </w:r>
      <w:r>
        <w:rPr>
          <w:spacing w:val="-2"/>
        </w:rPr>
        <w:t xml:space="preserve"> </w:t>
      </w:r>
      <w:r>
        <w:t>external</w:t>
      </w:r>
      <w:r>
        <w:rPr>
          <w:spacing w:val="-1"/>
        </w:rPr>
        <w:t xml:space="preserve"> </w:t>
      </w:r>
      <w:r>
        <w:rPr>
          <w:spacing w:val="-2"/>
        </w:rPr>
        <w:t>funding.</w:t>
      </w:r>
    </w:p>
    <w:p w14:paraId="3C4608D3" w14:textId="77777777" w:rsidR="002E5D85" w:rsidRDefault="002E5D85" w:rsidP="00B85E10">
      <w:pPr>
        <w:pStyle w:val="BodyText"/>
        <w:spacing w:before="201"/>
        <w:jc w:val="left"/>
      </w:pPr>
    </w:p>
    <w:sectPr w:rsidR="002E5D85" w:rsidSect="00B15962">
      <w:headerReference w:type="default" r:id="rId10"/>
      <w:footerReference w:type="default" r:id="rId11"/>
      <w:pgSz w:w="11900" w:h="16850"/>
      <w:pgMar w:top="1440" w:right="1134" w:bottom="1440" w:left="1077" w:header="697"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B2E01" w14:textId="77777777" w:rsidR="005D5C49" w:rsidRDefault="005D5C49">
      <w:r>
        <w:separator/>
      </w:r>
    </w:p>
  </w:endnote>
  <w:endnote w:type="continuationSeparator" w:id="0">
    <w:p w14:paraId="67FC9B86" w14:textId="77777777" w:rsidR="005D5C49" w:rsidRDefault="005D5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5D36" w14:textId="171DA3D4" w:rsidR="00DD0758" w:rsidRDefault="00DD0758">
    <w:pPr>
      <w:pStyle w:val="BodyText"/>
      <w:spacing w:line="14" w:lineRule="auto"/>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21B5" w14:textId="11C44AE7" w:rsidR="00DD0758" w:rsidRDefault="00DD0758">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9ACD3" w14:textId="77777777" w:rsidR="005D5C49" w:rsidRDefault="005D5C49">
      <w:r>
        <w:separator/>
      </w:r>
    </w:p>
  </w:footnote>
  <w:footnote w:type="continuationSeparator" w:id="0">
    <w:p w14:paraId="0711DA09" w14:textId="77777777" w:rsidR="005D5C49" w:rsidRDefault="005D5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E8DF3" w14:textId="3B37297A" w:rsidR="00DD0758" w:rsidRDefault="00DD0758">
    <w:pPr>
      <w:pStyle w:val="BodyText"/>
      <w:spacing w:line="14" w:lineRule="auto"/>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4323" w14:textId="327A4108" w:rsidR="00DD0758" w:rsidRDefault="00DD0758">
    <w:pPr>
      <w:pStyle w:val="BodyText"/>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62E7"/>
    <w:multiLevelType w:val="multilevel"/>
    <w:tmpl w:val="28EE8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8D5A7D"/>
    <w:multiLevelType w:val="hybridMultilevel"/>
    <w:tmpl w:val="6988261C"/>
    <w:lvl w:ilvl="0" w:tplc="38090019">
      <w:start w:val="1"/>
      <w:numFmt w:val="lowerLetter"/>
      <w:lvlText w:val="%1."/>
      <w:lvlJc w:val="left"/>
      <w:pPr>
        <w:ind w:left="720" w:hanging="360"/>
      </w:pPr>
      <w:rPr>
        <w:rFonts w:hint="default"/>
        <w:i w:val="0"/>
        <w:w w:val="105"/>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9226869"/>
    <w:multiLevelType w:val="multilevel"/>
    <w:tmpl w:val="3E7EF6F2"/>
    <w:lvl w:ilvl="0">
      <w:start w:val="1"/>
      <w:numFmt w:val="decimal"/>
      <w:lvlText w:val="%1."/>
      <w:lvlJc w:val="left"/>
      <w:pPr>
        <w:ind w:left="806" w:hanging="360"/>
      </w:pPr>
      <w:rPr>
        <w:rFonts w:ascii="Garamond" w:eastAsia="Garamond" w:hAnsi="Garamond" w:cs="Garamond" w:hint="default"/>
        <w:b/>
        <w:bCs/>
        <w:i w:val="0"/>
        <w:iCs w:val="0"/>
        <w:spacing w:val="0"/>
        <w:w w:val="100"/>
        <w:sz w:val="24"/>
        <w:szCs w:val="24"/>
        <w:lang w:val="en-US" w:eastAsia="en-US" w:bidi="ar-SA"/>
      </w:rPr>
    </w:lvl>
    <w:lvl w:ilvl="1">
      <w:start w:val="1"/>
      <w:numFmt w:val="decimal"/>
      <w:lvlText w:val="%1.%2."/>
      <w:lvlJc w:val="left"/>
      <w:pPr>
        <w:ind w:left="479" w:hanging="394"/>
      </w:pPr>
      <w:rPr>
        <w:rFonts w:ascii="Garamond" w:eastAsia="Garamond" w:hAnsi="Garamond" w:cs="Garamond" w:hint="default"/>
        <w:b/>
        <w:bCs/>
        <w:i w:val="0"/>
        <w:iCs w:val="0"/>
        <w:spacing w:val="0"/>
        <w:w w:val="100"/>
        <w:sz w:val="24"/>
        <w:szCs w:val="24"/>
        <w:lang w:val="en-US" w:eastAsia="en-US" w:bidi="ar-SA"/>
      </w:rPr>
    </w:lvl>
    <w:lvl w:ilvl="2">
      <w:start w:val="1"/>
      <w:numFmt w:val="decimal"/>
      <w:lvlText w:val="%3."/>
      <w:lvlJc w:val="left"/>
      <w:pPr>
        <w:ind w:left="806" w:hanging="360"/>
      </w:pPr>
      <w:rPr>
        <w:rFonts w:ascii="Garamond" w:eastAsia="Garamond" w:hAnsi="Garamond" w:cs="Garamond" w:hint="default"/>
        <w:b w:val="0"/>
        <w:bCs w:val="0"/>
        <w:i w:val="0"/>
        <w:iCs w:val="0"/>
        <w:spacing w:val="0"/>
        <w:w w:val="100"/>
        <w:sz w:val="24"/>
        <w:szCs w:val="24"/>
        <w:lang w:val="en-US" w:eastAsia="en-US" w:bidi="ar-SA"/>
      </w:rPr>
    </w:lvl>
    <w:lvl w:ilvl="3">
      <w:numFmt w:val="bullet"/>
      <w:lvlText w:val="•"/>
      <w:lvlJc w:val="left"/>
      <w:pPr>
        <w:ind w:left="2825" w:hanging="360"/>
      </w:pPr>
      <w:rPr>
        <w:rFonts w:hint="default"/>
        <w:lang w:val="en-US" w:eastAsia="en-US" w:bidi="ar-SA"/>
      </w:rPr>
    </w:lvl>
    <w:lvl w:ilvl="4">
      <w:numFmt w:val="bullet"/>
      <w:lvlText w:val="•"/>
      <w:lvlJc w:val="left"/>
      <w:pPr>
        <w:ind w:left="3838" w:hanging="360"/>
      </w:pPr>
      <w:rPr>
        <w:rFonts w:hint="default"/>
        <w:lang w:val="en-US" w:eastAsia="en-US" w:bidi="ar-SA"/>
      </w:rPr>
    </w:lvl>
    <w:lvl w:ilvl="5">
      <w:numFmt w:val="bullet"/>
      <w:lvlText w:val="•"/>
      <w:lvlJc w:val="left"/>
      <w:pPr>
        <w:ind w:left="4851" w:hanging="360"/>
      </w:pPr>
      <w:rPr>
        <w:rFonts w:hint="default"/>
        <w:lang w:val="en-US" w:eastAsia="en-US" w:bidi="ar-SA"/>
      </w:rPr>
    </w:lvl>
    <w:lvl w:ilvl="6">
      <w:numFmt w:val="bullet"/>
      <w:lvlText w:val="•"/>
      <w:lvlJc w:val="left"/>
      <w:pPr>
        <w:ind w:left="5864" w:hanging="360"/>
      </w:pPr>
      <w:rPr>
        <w:rFonts w:hint="default"/>
        <w:lang w:val="en-US" w:eastAsia="en-US" w:bidi="ar-SA"/>
      </w:rPr>
    </w:lvl>
    <w:lvl w:ilvl="7">
      <w:numFmt w:val="bullet"/>
      <w:lvlText w:val="•"/>
      <w:lvlJc w:val="left"/>
      <w:pPr>
        <w:ind w:left="6876" w:hanging="360"/>
      </w:pPr>
      <w:rPr>
        <w:rFonts w:hint="default"/>
        <w:lang w:val="en-US" w:eastAsia="en-US" w:bidi="ar-SA"/>
      </w:rPr>
    </w:lvl>
    <w:lvl w:ilvl="8">
      <w:numFmt w:val="bullet"/>
      <w:lvlText w:val="•"/>
      <w:lvlJc w:val="left"/>
      <w:pPr>
        <w:ind w:left="7889" w:hanging="360"/>
      </w:pPr>
      <w:rPr>
        <w:rFonts w:hint="default"/>
        <w:lang w:val="en-US" w:eastAsia="en-US" w:bidi="ar-SA"/>
      </w:rPr>
    </w:lvl>
  </w:abstractNum>
  <w:abstractNum w:abstractNumId="3" w15:restartNumberingAfterBreak="0">
    <w:nsid w:val="6F556E08"/>
    <w:multiLevelType w:val="hybridMultilevel"/>
    <w:tmpl w:val="274E3572"/>
    <w:lvl w:ilvl="0" w:tplc="45FA0FE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15:restartNumberingAfterBreak="0">
    <w:nsid w:val="70C50932"/>
    <w:multiLevelType w:val="multilevel"/>
    <w:tmpl w:val="E9D43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E069DF"/>
    <w:multiLevelType w:val="multilevel"/>
    <w:tmpl w:val="DADE1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4996918">
    <w:abstractNumId w:val="2"/>
  </w:num>
  <w:num w:numId="2" w16cid:durableId="1161195591">
    <w:abstractNumId w:val="3"/>
  </w:num>
  <w:num w:numId="3" w16cid:durableId="616526427">
    <w:abstractNumId w:val="1"/>
  </w:num>
  <w:num w:numId="4" w16cid:durableId="657997448">
    <w:abstractNumId w:val="5"/>
  </w:num>
  <w:num w:numId="5" w16cid:durableId="1286547590">
    <w:abstractNumId w:val="4"/>
  </w:num>
  <w:num w:numId="6" w16cid:durableId="527447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tDQxNTIwNzI2MjM1NLdU0lEKTi0uzszPAykwNKoFAIA+4XItAAAA"/>
  </w:docVars>
  <w:rsids>
    <w:rsidRoot w:val="00DD0758"/>
    <w:rsid w:val="000173CF"/>
    <w:rsid w:val="00036D56"/>
    <w:rsid w:val="00042541"/>
    <w:rsid w:val="000479CD"/>
    <w:rsid w:val="00054AF1"/>
    <w:rsid w:val="00057447"/>
    <w:rsid w:val="00075CDF"/>
    <w:rsid w:val="00081727"/>
    <w:rsid w:val="000839A1"/>
    <w:rsid w:val="000864F9"/>
    <w:rsid w:val="000876FF"/>
    <w:rsid w:val="000A635E"/>
    <w:rsid w:val="000B35EB"/>
    <w:rsid w:val="000B4B82"/>
    <w:rsid w:val="000C70BF"/>
    <w:rsid w:val="000E11E4"/>
    <w:rsid w:val="000E4013"/>
    <w:rsid w:val="000E6F01"/>
    <w:rsid w:val="000F447E"/>
    <w:rsid w:val="00114B58"/>
    <w:rsid w:val="00114B68"/>
    <w:rsid w:val="001214D2"/>
    <w:rsid w:val="00124885"/>
    <w:rsid w:val="001309ED"/>
    <w:rsid w:val="001369FC"/>
    <w:rsid w:val="00187DAC"/>
    <w:rsid w:val="0019348F"/>
    <w:rsid w:val="001957AE"/>
    <w:rsid w:val="00195F5B"/>
    <w:rsid w:val="001A1BB1"/>
    <w:rsid w:val="001A7F73"/>
    <w:rsid w:val="001C7857"/>
    <w:rsid w:val="001D599A"/>
    <w:rsid w:val="001E54AA"/>
    <w:rsid w:val="001F4B7A"/>
    <w:rsid w:val="0020180A"/>
    <w:rsid w:val="00203B4D"/>
    <w:rsid w:val="002046A5"/>
    <w:rsid w:val="002213F5"/>
    <w:rsid w:val="00241DD4"/>
    <w:rsid w:val="00247757"/>
    <w:rsid w:val="002565E6"/>
    <w:rsid w:val="00260B73"/>
    <w:rsid w:val="00263B1E"/>
    <w:rsid w:val="00264AC9"/>
    <w:rsid w:val="00293458"/>
    <w:rsid w:val="00297559"/>
    <w:rsid w:val="002B494C"/>
    <w:rsid w:val="002C38D3"/>
    <w:rsid w:val="002E5D85"/>
    <w:rsid w:val="00301454"/>
    <w:rsid w:val="0030304C"/>
    <w:rsid w:val="00307437"/>
    <w:rsid w:val="003242EF"/>
    <w:rsid w:val="003304CC"/>
    <w:rsid w:val="0033390B"/>
    <w:rsid w:val="003430F7"/>
    <w:rsid w:val="00345AE7"/>
    <w:rsid w:val="00356EC3"/>
    <w:rsid w:val="00357DD1"/>
    <w:rsid w:val="003819AA"/>
    <w:rsid w:val="003975D1"/>
    <w:rsid w:val="003C4D86"/>
    <w:rsid w:val="003D7FBB"/>
    <w:rsid w:val="003F07DF"/>
    <w:rsid w:val="00423A52"/>
    <w:rsid w:val="00457728"/>
    <w:rsid w:val="004807C8"/>
    <w:rsid w:val="004A3411"/>
    <w:rsid w:val="004A50CB"/>
    <w:rsid w:val="004E72B7"/>
    <w:rsid w:val="004F179A"/>
    <w:rsid w:val="0051339A"/>
    <w:rsid w:val="0051599D"/>
    <w:rsid w:val="00522C5E"/>
    <w:rsid w:val="00526229"/>
    <w:rsid w:val="00537049"/>
    <w:rsid w:val="005425B9"/>
    <w:rsid w:val="00555577"/>
    <w:rsid w:val="005620F3"/>
    <w:rsid w:val="00570CDD"/>
    <w:rsid w:val="00580262"/>
    <w:rsid w:val="00584E81"/>
    <w:rsid w:val="005D0287"/>
    <w:rsid w:val="005D5C49"/>
    <w:rsid w:val="006041FA"/>
    <w:rsid w:val="00615390"/>
    <w:rsid w:val="00615AE4"/>
    <w:rsid w:val="00624FCF"/>
    <w:rsid w:val="00632A13"/>
    <w:rsid w:val="006571F8"/>
    <w:rsid w:val="0066233D"/>
    <w:rsid w:val="0069572D"/>
    <w:rsid w:val="006A3438"/>
    <w:rsid w:val="006B3069"/>
    <w:rsid w:val="00707C39"/>
    <w:rsid w:val="00713BB7"/>
    <w:rsid w:val="00715F1C"/>
    <w:rsid w:val="007431A6"/>
    <w:rsid w:val="00745211"/>
    <w:rsid w:val="00750A0C"/>
    <w:rsid w:val="00752FCE"/>
    <w:rsid w:val="0075685E"/>
    <w:rsid w:val="0076254B"/>
    <w:rsid w:val="00792577"/>
    <w:rsid w:val="007B2DD5"/>
    <w:rsid w:val="007C41F7"/>
    <w:rsid w:val="007C746B"/>
    <w:rsid w:val="00801D73"/>
    <w:rsid w:val="00825960"/>
    <w:rsid w:val="00833A8D"/>
    <w:rsid w:val="008358FD"/>
    <w:rsid w:val="00840E27"/>
    <w:rsid w:val="008474C1"/>
    <w:rsid w:val="008657CC"/>
    <w:rsid w:val="0088134A"/>
    <w:rsid w:val="00885211"/>
    <w:rsid w:val="00891B26"/>
    <w:rsid w:val="008A409E"/>
    <w:rsid w:val="008C2B39"/>
    <w:rsid w:val="008D53BD"/>
    <w:rsid w:val="00905F20"/>
    <w:rsid w:val="00907FBA"/>
    <w:rsid w:val="00911AEF"/>
    <w:rsid w:val="00924E98"/>
    <w:rsid w:val="00942033"/>
    <w:rsid w:val="00945260"/>
    <w:rsid w:val="009455DA"/>
    <w:rsid w:val="0095015B"/>
    <w:rsid w:val="009568AB"/>
    <w:rsid w:val="00980C3D"/>
    <w:rsid w:val="009C0D3E"/>
    <w:rsid w:val="009D3BDA"/>
    <w:rsid w:val="009F418F"/>
    <w:rsid w:val="00A160C2"/>
    <w:rsid w:val="00A212B0"/>
    <w:rsid w:val="00A35BED"/>
    <w:rsid w:val="00A37401"/>
    <w:rsid w:val="00A464C2"/>
    <w:rsid w:val="00AA2B6B"/>
    <w:rsid w:val="00AA350D"/>
    <w:rsid w:val="00AA5E17"/>
    <w:rsid w:val="00AB37F9"/>
    <w:rsid w:val="00AC585B"/>
    <w:rsid w:val="00AD259D"/>
    <w:rsid w:val="00AF4D9E"/>
    <w:rsid w:val="00B03E30"/>
    <w:rsid w:val="00B15962"/>
    <w:rsid w:val="00B20C1B"/>
    <w:rsid w:val="00B234B0"/>
    <w:rsid w:val="00B36A8E"/>
    <w:rsid w:val="00B442F2"/>
    <w:rsid w:val="00B560F9"/>
    <w:rsid w:val="00B85E10"/>
    <w:rsid w:val="00B87492"/>
    <w:rsid w:val="00BB648B"/>
    <w:rsid w:val="00BC1327"/>
    <w:rsid w:val="00BC64E4"/>
    <w:rsid w:val="00BD0C25"/>
    <w:rsid w:val="00BD0C3F"/>
    <w:rsid w:val="00BE3740"/>
    <w:rsid w:val="00C15D5A"/>
    <w:rsid w:val="00C36107"/>
    <w:rsid w:val="00C602F9"/>
    <w:rsid w:val="00C857A6"/>
    <w:rsid w:val="00C93215"/>
    <w:rsid w:val="00CC37CA"/>
    <w:rsid w:val="00CE002A"/>
    <w:rsid w:val="00CF6305"/>
    <w:rsid w:val="00CF78C2"/>
    <w:rsid w:val="00D22D9B"/>
    <w:rsid w:val="00D51153"/>
    <w:rsid w:val="00D76E80"/>
    <w:rsid w:val="00D9305E"/>
    <w:rsid w:val="00DC042F"/>
    <w:rsid w:val="00DC3F4F"/>
    <w:rsid w:val="00DD0758"/>
    <w:rsid w:val="00DE2BFE"/>
    <w:rsid w:val="00DE4E9B"/>
    <w:rsid w:val="00DE5E3F"/>
    <w:rsid w:val="00DE6ED5"/>
    <w:rsid w:val="00DF22B6"/>
    <w:rsid w:val="00DF400B"/>
    <w:rsid w:val="00E167F3"/>
    <w:rsid w:val="00E17A15"/>
    <w:rsid w:val="00E227AC"/>
    <w:rsid w:val="00E41C14"/>
    <w:rsid w:val="00E4695A"/>
    <w:rsid w:val="00E90D03"/>
    <w:rsid w:val="00EA49BB"/>
    <w:rsid w:val="00EA6AAF"/>
    <w:rsid w:val="00EB7897"/>
    <w:rsid w:val="00EC09D4"/>
    <w:rsid w:val="00EC6137"/>
    <w:rsid w:val="00ED29B5"/>
    <w:rsid w:val="00EE6197"/>
    <w:rsid w:val="00EF3C0A"/>
    <w:rsid w:val="00F04188"/>
    <w:rsid w:val="00F51D78"/>
    <w:rsid w:val="00F74C99"/>
    <w:rsid w:val="00F836D9"/>
    <w:rsid w:val="00FB7AA2"/>
    <w:rsid w:val="00FC2204"/>
    <w:rsid w:val="00FC6A9E"/>
    <w:rsid w:val="00FE5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4B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287"/>
    <w:rPr>
      <w:rFonts w:ascii="Garamond" w:eastAsia="Garamond" w:hAnsi="Garamond" w:cs="Garamond"/>
    </w:rPr>
  </w:style>
  <w:style w:type="paragraph" w:styleId="Heading1">
    <w:name w:val="heading 1"/>
    <w:basedOn w:val="Normal"/>
    <w:next w:val="Normal"/>
    <w:link w:val="Heading1Char"/>
    <w:autoRedefine/>
    <w:uiPriority w:val="9"/>
    <w:qFormat/>
    <w:rsid w:val="00357DD1"/>
    <w:pPr>
      <w:keepNext/>
      <w:keepLines/>
      <w:widowControl/>
      <w:tabs>
        <w:tab w:val="left" w:pos="804"/>
      </w:tabs>
      <w:autoSpaceDE/>
      <w:autoSpaceDN/>
      <w:spacing w:before="1"/>
      <w:jc w:val="center"/>
      <w:outlineLvl w:val="0"/>
    </w:pPr>
    <w:rPr>
      <w:rFonts w:eastAsiaTheme="majorEastAsia" w:cstheme="majorBidi"/>
      <w:b/>
      <w:noProof/>
      <w:sz w:val="24"/>
      <w:szCs w:val="32"/>
    </w:rPr>
  </w:style>
  <w:style w:type="paragraph" w:styleId="Heading2">
    <w:name w:val="heading 2"/>
    <w:basedOn w:val="Normal"/>
    <w:next w:val="Normal"/>
    <w:link w:val="Heading2Char"/>
    <w:autoRedefine/>
    <w:uiPriority w:val="9"/>
    <w:unhideWhenUsed/>
    <w:qFormat/>
    <w:rsid w:val="005620F3"/>
    <w:pPr>
      <w:widowControl/>
      <w:autoSpaceDE/>
      <w:autoSpaceDN/>
      <w:spacing w:before="240" w:after="120"/>
      <w:outlineLvl w:val="1"/>
    </w:pPr>
    <w:rPr>
      <w:rFonts w:eastAsiaTheme="minorHAnsi" w:cstheme="minorBidi"/>
      <w:b/>
      <w:bCs/>
      <w:kern w:val="2"/>
      <w:sz w:val="24"/>
      <w14:ligatures w14:val="standardContextual"/>
    </w:rPr>
  </w:style>
  <w:style w:type="paragraph" w:styleId="Heading3">
    <w:name w:val="heading 3"/>
    <w:basedOn w:val="Normal"/>
    <w:next w:val="Normal"/>
    <w:link w:val="Heading3Char"/>
    <w:autoRedefine/>
    <w:uiPriority w:val="9"/>
    <w:unhideWhenUsed/>
    <w:qFormat/>
    <w:rsid w:val="005620F3"/>
    <w:pPr>
      <w:keepNext/>
      <w:keepLines/>
      <w:widowControl/>
      <w:autoSpaceDE/>
      <w:autoSpaceDN/>
      <w:spacing w:before="120" w:after="120"/>
      <w:ind w:left="284" w:hanging="284"/>
      <w:outlineLvl w:val="2"/>
    </w:pPr>
    <w:rPr>
      <w:rFonts w:eastAsiaTheme="majorEastAsia" w:cstheme="majorBidi"/>
      <w:b/>
      <w:noProo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rPr>
      <w:sz w:val="24"/>
      <w:szCs w:val="24"/>
    </w:rPr>
  </w:style>
  <w:style w:type="paragraph" w:styleId="Title">
    <w:name w:val="Title"/>
    <w:basedOn w:val="Normal"/>
    <w:uiPriority w:val="10"/>
    <w:qFormat/>
    <w:pPr>
      <w:ind w:left="210" w:right="319" w:firstLine="5"/>
      <w:jc w:val="center"/>
    </w:pPr>
    <w:rPr>
      <w:b/>
      <w:bCs/>
      <w:sz w:val="32"/>
      <w:szCs w:val="32"/>
    </w:rPr>
  </w:style>
  <w:style w:type="paragraph" w:styleId="ListParagraph">
    <w:name w:val="List Paragraph"/>
    <w:basedOn w:val="Normal"/>
    <w:uiPriority w:val="34"/>
    <w:qFormat/>
    <w:pPr>
      <w:ind w:left="805" w:hanging="359"/>
    </w:pPr>
  </w:style>
  <w:style w:type="paragraph" w:customStyle="1" w:styleId="TableParagraph">
    <w:name w:val="Table Paragraph"/>
    <w:basedOn w:val="Normal"/>
    <w:uiPriority w:val="1"/>
    <w:pPr>
      <w:ind w:left="106"/>
    </w:pPr>
  </w:style>
  <w:style w:type="paragraph" w:styleId="Bibliography">
    <w:name w:val="Bibliography"/>
    <w:basedOn w:val="Normal"/>
    <w:next w:val="Normal"/>
    <w:autoRedefine/>
    <w:uiPriority w:val="37"/>
    <w:unhideWhenUsed/>
    <w:qFormat/>
    <w:rsid w:val="00AC585B"/>
    <w:pPr>
      <w:widowControl/>
      <w:autoSpaceDE/>
      <w:autoSpaceDN/>
      <w:ind w:left="720" w:hanging="720"/>
      <w:jc w:val="both"/>
    </w:pPr>
    <w:rPr>
      <w:rFonts w:eastAsiaTheme="minorHAnsi" w:cstheme="minorBidi"/>
      <w:noProof/>
      <w:sz w:val="24"/>
    </w:rPr>
  </w:style>
  <w:style w:type="character" w:customStyle="1" w:styleId="Heading1Char">
    <w:name w:val="Heading 1 Char"/>
    <w:basedOn w:val="DefaultParagraphFont"/>
    <w:link w:val="Heading1"/>
    <w:uiPriority w:val="9"/>
    <w:rsid w:val="00357DD1"/>
    <w:rPr>
      <w:rFonts w:ascii="Garamond" w:eastAsiaTheme="majorEastAsia" w:hAnsi="Garamond" w:cstheme="majorBidi"/>
      <w:b/>
      <w:noProof/>
      <w:sz w:val="24"/>
      <w:szCs w:val="32"/>
    </w:rPr>
  </w:style>
  <w:style w:type="character" w:customStyle="1" w:styleId="Heading2Char">
    <w:name w:val="Heading 2 Char"/>
    <w:basedOn w:val="DefaultParagraphFont"/>
    <w:link w:val="Heading2"/>
    <w:uiPriority w:val="9"/>
    <w:rsid w:val="005620F3"/>
    <w:rPr>
      <w:rFonts w:ascii="Garamond" w:hAnsi="Garamond"/>
      <w:b/>
      <w:bCs/>
      <w:kern w:val="2"/>
      <w:sz w:val="24"/>
      <w14:ligatures w14:val="standardContextual"/>
    </w:rPr>
  </w:style>
  <w:style w:type="character" w:customStyle="1" w:styleId="Heading3Char">
    <w:name w:val="Heading 3 Char"/>
    <w:basedOn w:val="DefaultParagraphFont"/>
    <w:link w:val="Heading3"/>
    <w:uiPriority w:val="9"/>
    <w:rsid w:val="005620F3"/>
    <w:rPr>
      <w:rFonts w:ascii="Garamond" w:eastAsiaTheme="majorEastAsia" w:hAnsi="Garamond" w:cstheme="majorBidi"/>
      <w:b/>
      <w:noProof/>
      <w:sz w:val="24"/>
      <w:szCs w:val="24"/>
    </w:rPr>
  </w:style>
  <w:style w:type="paragraph" w:customStyle="1" w:styleId="Para1">
    <w:name w:val="Para_1"/>
    <w:basedOn w:val="Normal"/>
    <w:link w:val="Para1Char"/>
    <w:autoRedefine/>
    <w:qFormat/>
    <w:rsid w:val="00801D73"/>
    <w:pPr>
      <w:widowControl/>
      <w:autoSpaceDE/>
      <w:autoSpaceDN/>
      <w:ind w:firstLine="652"/>
      <w:jc w:val="both"/>
    </w:pPr>
    <w:rPr>
      <w:rFonts w:eastAsiaTheme="minorHAnsi" w:cs="Times New Roman"/>
      <w:noProof/>
      <w:spacing w:val="-7"/>
      <w:sz w:val="24"/>
      <w:szCs w:val="24"/>
    </w:rPr>
  </w:style>
  <w:style w:type="character" w:customStyle="1" w:styleId="Para1Char">
    <w:name w:val="Para_1 Char"/>
    <w:basedOn w:val="DefaultParagraphFont"/>
    <w:link w:val="Para1"/>
    <w:rsid w:val="00801D73"/>
    <w:rPr>
      <w:rFonts w:ascii="Garamond" w:hAnsi="Garamond" w:cs="Times New Roman"/>
      <w:noProof/>
      <w:spacing w:val="-7"/>
      <w:sz w:val="24"/>
      <w:szCs w:val="24"/>
    </w:rPr>
  </w:style>
  <w:style w:type="paragraph" w:customStyle="1" w:styleId="Para2">
    <w:name w:val="Para_2"/>
    <w:basedOn w:val="Para1"/>
    <w:link w:val="Para2Char"/>
    <w:autoRedefine/>
    <w:qFormat/>
    <w:rsid w:val="00357DD1"/>
    <w:pPr>
      <w:ind w:left="567"/>
    </w:pPr>
  </w:style>
  <w:style w:type="character" w:customStyle="1" w:styleId="Para2Char">
    <w:name w:val="Para_2 Char"/>
    <w:basedOn w:val="Para1Char"/>
    <w:link w:val="Para2"/>
    <w:rsid w:val="00357DD1"/>
    <w:rPr>
      <w:rFonts w:ascii="Garamond" w:hAnsi="Garamond" w:cs="Times New Roman"/>
      <w:noProof/>
      <w:spacing w:val="-7"/>
      <w:sz w:val="24"/>
      <w:szCs w:val="24"/>
    </w:rPr>
  </w:style>
  <w:style w:type="table" w:styleId="TableGrid">
    <w:name w:val="Table Grid"/>
    <w:basedOn w:val="TableNormal"/>
    <w:uiPriority w:val="59"/>
    <w:rsid w:val="00B85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5E10"/>
    <w:pPr>
      <w:tabs>
        <w:tab w:val="center" w:pos="4680"/>
        <w:tab w:val="right" w:pos="9360"/>
      </w:tabs>
    </w:pPr>
  </w:style>
  <w:style w:type="character" w:customStyle="1" w:styleId="HeaderChar">
    <w:name w:val="Header Char"/>
    <w:basedOn w:val="DefaultParagraphFont"/>
    <w:link w:val="Header"/>
    <w:uiPriority w:val="99"/>
    <w:rsid w:val="00B85E10"/>
    <w:rPr>
      <w:rFonts w:ascii="Garamond" w:eastAsia="Garamond" w:hAnsi="Garamond" w:cs="Garamond"/>
    </w:rPr>
  </w:style>
  <w:style w:type="paragraph" w:styleId="Footer">
    <w:name w:val="footer"/>
    <w:basedOn w:val="Normal"/>
    <w:link w:val="FooterChar"/>
    <w:uiPriority w:val="99"/>
    <w:unhideWhenUsed/>
    <w:rsid w:val="00B85E10"/>
    <w:pPr>
      <w:tabs>
        <w:tab w:val="center" w:pos="4680"/>
        <w:tab w:val="right" w:pos="9360"/>
      </w:tabs>
    </w:pPr>
  </w:style>
  <w:style w:type="character" w:customStyle="1" w:styleId="FooterChar">
    <w:name w:val="Footer Char"/>
    <w:basedOn w:val="DefaultParagraphFont"/>
    <w:link w:val="Footer"/>
    <w:uiPriority w:val="99"/>
    <w:rsid w:val="00B85E10"/>
    <w:rPr>
      <w:rFonts w:ascii="Garamond" w:eastAsia="Garamond" w:hAnsi="Garamond" w:cs="Garamond"/>
    </w:rPr>
  </w:style>
  <w:style w:type="character" w:styleId="Emphasis">
    <w:name w:val="Emphasis"/>
    <w:basedOn w:val="DefaultParagraphFont"/>
    <w:uiPriority w:val="20"/>
    <w:qFormat/>
    <w:rsid w:val="00F04188"/>
    <w:rPr>
      <w:i/>
      <w:iCs/>
    </w:rPr>
  </w:style>
  <w:style w:type="paragraph" w:styleId="NormalWeb">
    <w:name w:val="Normal (Web)"/>
    <w:basedOn w:val="Normal"/>
    <w:uiPriority w:val="99"/>
    <w:unhideWhenUsed/>
    <w:rsid w:val="00F0418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04188"/>
    <w:rPr>
      <w:b/>
      <w:bCs/>
    </w:rPr>
  </w:style>
  <w:style w:type="table" w:customStyle="1" w:styleId="TableGrid1">
    <w:name w:val="Table Grid1"/>
    <w:basedOn w:val="TableNormal"/>
    <w:next w:val="TableGrid"/>
    <w:uiPriority w:val="39"/>
    <w:rsid w:val="00E4695A"/>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B20C1B"/>
    <w:rPr>
      <w:rFonts w:ascii="Garamond" w:eastAsia="Garamond" w:hAnsi="Garamond" w:cs="Garamond"/>
      <w:sz w:val="24"/>
      <w:szCs w:val="24"/>
    </w:rPr>
  </w:style>
  <w:style w:type="character" w:styleId="Hyperlink">
    <w:name w:val="Hyperlink"/>
    <w:basedOn w:val="DefaultParagraphFont"/>
    <w:uiPriority w:val="99"/>
    <w:unhideWhenUsed/>
    <w:rsid w:val="000839A1"/>
    <w:rPr>
      <w:color w:val="0000FF" w:themeColor="hyperlink"/>
      <w:u w:val="single"/>
    </w:rPr>
  </w:style>
  <w:style w:type="character" w:styleId="UnresolvedMention">
    <w:name w:val="Unresolved Mention"/>
    <w:basedOn w:val="DefaultParagraphFont"/>
    <w:uiPriority w:val="99"/>
    <w:semiHidden/>
    <w:unhideWhenUsed/>
    <w:rsid w:val="00083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2025-08-14T15:21:00Z</dcterms:created>
  <dcterms:modified xsi:type="dcterms:W3CDTF">2025-08-14T15:22:00Z</dcterms:modified>
</cp:coreProperties>
</file>