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31619" w14:textId="2B702A14"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4FFE413" wp14:editId="0A2FCB94">
                <wp:extent cx="6764020" cy="12700"/>
                <wp:effectExtent l="0" t="0" r="5080" b="0"/>
                <wp:docPr id="19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6" name="Line 125"/>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6D99A7" id="Group 124"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TdAIAAIcFAAAOAAAAZHJzL2Uyb0RvYy54bWykVN9v2yAQfp+0/wH5PfWPOW5qNammOOlL&#10;t1Xq9gcQwDYaBgQ0TjXtf98BTtq0L1X3Yh/ccXz3fXdc3xwGgfbMWK7kMskvsgQxSRTlslsmv35u&#10;Z4sEWYclxUJJtkyemE1uVp8/XY+6ZoXqlaDMIEgibT3qZdI7p+s0taRnA7YXSjMJzlaZATtYmi6l&#10;Bo+QfRBpkWVVOipDtVGEWQu7TXQmq5C/bRlxP9rWMofEMgFsLnxN+O78N11d47ozWPecTDDwB1AM&#10;mEu49JSqwQ6jR8PfpBo4Mcqq1l0QNaSqbTlhoQaoJs9eVXNr1KMOtXT12OkTTUDtK54+nJZ8398b&#10;xClodzVPkMQDiBTuRXlRenpG3dUQdWv0g743sUYw7xT5bcGdvvb7dReD0W78pigkxI9OBXoOrRl8&#10;CigcHYIKTycV2MEhApvVZVVmBYhFwJcXl9mkEulByjenSL+ZzuVZNS/iKTjtoeE63hcwTph8QdBq&#10;9plN+39sPvRYsyCS9Tyd2KyObN5xyYDMeSQzBK1lZJIc5BmTL5wepQXC38lhPpF0JNGTkUcyzrnA&#10;tTbW3TI1IG8sEwHwgjZ4f2ddpO0Y4qWSasuFgH1cC4nGoyR+bZXg1HvDwnS7tTBoj2HUFvNsk28n&#10;Ec7CfOoG2z7GBZcPwzX0uqTB6hmmm8l2mItog5pC+kAoEYBOVhyyP1fZ1WaxWZSzsqg2szJrmtnX&#10;7bqcVdv8ct58adbrJv/rq8zLuueUMulhHwc+L9/XAtPTE0f1NPIngtLz7KEBAezxH0BDK0ZdYx/u&#10;FH26N570qSuDFaY9HJteJv+cvFyHqOf3c/UPAAD//wMAUEsDBBQABgAIAAAAIQDKYsbX2wAAAAQB&#10;AAAPAAAAZHJzL2Rvd25yZXYueG1sTI/BasMwEETvhfyD2EBvjWSXhOJaDiG0PYVCk0LpbWNtbBNr&#10;ZSzFdv6+Si/tZWGYYeZtvp5sKwbqfeNYQ7JQIIhLZxquNHweXh+eQPiAbLB1TBqu5GFdzO5yzIwb&#10;+YOGfahELGGfoYY6hC6T0pc1WfQL1xFH7+R6iyHKvpKmxzGW21amSq2kxYbjQo0dbWsqz/uL1fA2&#10;4rh5TF6G3fm0vX4flu9fu4S0vp9Pm2cQgabwF4YbfkSHIjId3YWNF62G+Ej4vTdPrZYpiKOGVIEs&#10;cvkfvvgBAAD//wMAUEsBAi0AFAAGAAgAAAAhALaDOJL+AAAA4QEAABMAAAAAAAAAAAAAAAAAAAAA&#10;AFtDb250ZW50X1R5cGVzXS54bWxQSwECLQAUAAYACAAAACEAOP0h/9YAAACUAQAACwAAAAAAAAAA&#10;AAAAAAAvAQAAX3JlbHMvLnJlbHNQSwECLQAUAAYACAAAACEA0d+f03QCAACHBQAADgAAAAAAAAAA&#10;AAAAAAAuAgAAZHJzL2Uyb0RvYy54bWxQSwECLQAUAAYACAAAACEAymLG19sAAAAEAQAADwAAAAAA&#10;AAAAAAAAAADOBAAAZHJzL2Rvd25yZXYueG1sUEsFBgAAAAAEAAQA8wAAANYFAAAAAA==&#10;">
                <v:line id="Line 125" o:spid="_x0000_s1027" style="position:absolute;visibility:visible;mso-wrap-style:square" from="0,10" to="10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3VwwAAANwAAAAPAAAAZHJzL2Rvd25yZXYueG1sRE9Na8JA&#10;EL0X/A/LCL1I3cSAaOoqIgq5BNpUCr0N2TEJZmdjdjXpv+8WCr3N433OZjeaVjyod41lBfE8AkFc&#10;Wt1wpeD8cXpZgXAeWWNrmRR8k4PddvK0wVTbgd/pUfhKhBB2KSqove9SKV1Zk0E3tx1x4C62N+gD&#10;7CupexxCuGnlIoqW0mDDoaHGjg41ldfibhTQIZtlyecav8r8Fr8dZTLLOVHqeTruX0F4Gv2/+M+d&#10;6TB/vYTfZ8IFcvsDAAD//wMAUEsBAi0AFAAGAAgAAAAhANvh9svuAAAAhQEAABMAAAAAAAAAAAAA&#10;AAAAAAAAAFtDb250ZW50X1R5cGVzXS54bWxQSwECLQAUAAYACAAAACEAWvQsW78AAAAVAQAACwAA&#10;AAAAAAAAAAAAAAAfAQAAX3JlbHMvLnJlbHNQSwECLQAUAAYACAAAACEAGmJd1cMAAADcAAAADwAA&#10;AAAAAAAAAAAAAAAHAgAAZHJzL2Rvd25yZXYueG1sUEsFBgAAAAADAAMAtwAAAPcCAAAAAA==&#10;" strokecolor="#850e1f" strokeweight="1pt">
                  <o:lock v:ext="edit" shapetype="f"/>
                </v:line>
                <w10:anchorlock/>
              </v:group>
            </w:pict>
          </mc:Fallback>
        </mc:AlternateContent>
      </w:r>
    </w:p>
    <w:p w14:paraId="61738456" w14:textId="38A0672C" w:rsidR="00CD0D57" w:rsidRPr="00947C46" w:rsidRDefault="00CD0D57">
      <w:pPr>
        <w:pStyle w:val="BodyText"/>
        <w:spacing w:before="7"/>
        <w:ind w:left="0"/>
        <w:rPr>
          <w:color w:val="000000" w:themeColor="text1"/>
          <w:sz w:val="7"/>
        </w:rPr>
      </w:pPr>
    </w:p>
    <w:p w14:paraId="27A8CD7B" w14:textId="0FB14C8E" w:rsidR="00CD0D57" w:rsidRPr="00947C46" w:rsidRDefault="00F04652">
      <w:pPr>
        <w:spacing w:before="88"/>
        <w:ind w:left="2698" w:right="2807"/>
        <w:jc w:val="center"/>
        <w:rPr>
          <w:b/>
          <w:color w:val="000000" w:themeColor="text1"/>
          <w:sz w:val="28"/>
        </w:rPr>
      </w:pPr>
      <w:r>
        <w:rPr>
          <w:b/>
          <w:noProof/>
          <w:color w:val="000000" w:themeColor="text1"/>
          <w:spacing w:val="-2"/>
          <w:sz w:val="28"/>
        </w:rPr>
        <w:drawing>
          <wp:anchor distT="0" distB="0" distL="114300" distR="114300" simplePos="0" relativeHeight="487600640" behindDoc="0" locked="0" layoutInCell="1" allowOverlap="1" wp14:anchorId="0B5FF454" wp14:editId="31D6B94B">
            <wp:simplePos x="0" y="0"/>
            <wp:positionH relativeFrom="column">
              <wp:posOffset>6116320</wp:posOffset>
            </wp:positionH>
            <wp:positionV relativeFrom="paragraph">
              <wp:posOffset>54737</wp:posOffset>
            </wp:positionV>
            <wp:extent cx="713105" cy="1138555"/>
            <wp:effectExtent l="0" t="0" r="0" b="4445"/>
            <wp:wrapSquare wrapText="bothSides"/>
            <wp:docPr id="204" name="Picture 20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Pr>
          <w:b/>
          <w:noProof/>
          <w:color w:val="000000" w:themeColor="text1"/>
          <w:spacing w:val="-2"/>
          <w:sz w:val="28"/>
        </w:rPr>
        <w:drawing>
          <wp:anchor distT="0" distB="0" distL="114300" distR="114300" simplePos="0" relativeHeight="487598592" behindDoc="0" locked="0" layoutInCell="1" allowOverlap="1" wp14:anchorId="36330E6A" wp14:editId="197EBE77">
            <wp:simplePos x="0" y="0"/>
            <wp:positionH relativeFrom="column">
              <wp:posOffset>61595</wp:posOffset>
            </wp:positionH>
            <wp:positionV relativeFrom="paragraph">
              <wp:posOffset>57277</wp:posOffset>
            </wp:positionV>
            <wp:extent cx="713105" cy="1138555"/>
            <wp:effectExtent l="0" t="0" r="0" b="4445"/>
            <wp:wrapSquare wrapText="bothSides"/>
            <wp:docPr id="203" name="Picture 20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sidR="00560648" w:rsidRPr="00947C46">
        <w:rPr>
          <w:b/>
          <w:color w:val="000000" w:themeColor="text1"/>
          <w:spacing w:val="-2"/>
          <w:sz w:val="28"/>
        </w:rPr>
        <w:t xml:space="preserve">Journal of </w:t>
      </w:r>
      <w:r>
        <w:rPr>
          <w:b/>
          <w:color w:val="000000" w:themeColor="text1"/>
          <w:spacing w:val="-2"/>
          <w:sz w:val="28"/>
        </w:rPr>
        <w:t>Economics and Business Letters</w:t>
      </w:r>
    </w:p>
    <w:p w14:paraId="11DFB34A" w14:textId="43482188" w:rsidR="00CD0D57" w:rsidRPr="00947C46" w:rsidRDefault="00CD0D57" w:rsidP="00560648">
      <w:pPr>
        <w:spacing w:before="220"/>
        <w:ind w:right="2805"/>
        <w:rPr>
          <w:color w:val="000000" w:themeColor="text1"/>
          <w:sz w:val="24"/>
        </w:rPr>
      </w:pPr>
    </w:p>
    <w:p w14:paraId="4DEDDBEC" w14:textId="70CB3704" w:rsidR="00CD0D57" w:rsidRPr="00947C46" w:rsidRDefault="009247FF">
      <w:pPr>
        <w:spacing w:before="231"/>
        <w:ind w:left="2700" w:right="2804"/>
        <w:jc w:val="center"/>
        <w:rPr>
          <w:color w:val="000000" w:themeColor="text1"/>
          <w:sz w:val="24"/>
        </w:rPr>
      </w:pPr>
      <w:r w:rsidRPr="00947C46">
        <w:rPr>
          <w:color w:val="000000" w:themeColor="text1"/>
          <w:sz w:val="24"/>
        </w:rPr>
        <w:t>available</w:t>
      </w:r>
      <w:r w:rsidRPr="00947C46">
        <w:rPr>
          <w:color w:val="000000" w:themeColor="text1"/>
          <w:spacing w:val="-5"/>
          <w:sz w:val="24"/>
        </w:rPr>
        <w:t xml:space="preserve"> </w:t>
      </w:r>
      <w:r w:rsidRPr="00947C46">
        <w:rPr>
          <w:color w:val="000000" w:themeColor="text1"/>
          <w:sz w:val="24"/>
        </w:rPr>
        <w:t>at</w:t>
      </w:r>
      <w:r w:rsidRPr="00947C46">
        <w:rPr>
          <w:color w:val="000000" w:themeColor="text1"/>
          <w:spacing w:val="-4"/>
          <w:sz w:val="24"/>
        </w:rPr>
        <w:t xml:space="preserve"> </w:t>
      </w:r>
      <w:r w:rsidRPr="00947C46">
        <w:rPr>
          <w:color w:val="000000" w:themeColor="text1"/>
          <w:sz w:val="24"/>
        </w:rPr>
        <w:t>http:</w:t>
      </w:r>
      <w:r w:rsidRPr="00947C46">
        <w:rPr>
          <w:color w:val="000000" w:themeColor="text1"/>
          <w:spacing w:val="-4"/>
          <w:sz w:val="24"/>
        </w:rPr>
        <w:t xml:space="preserve"> </w:t>
      </w:r>
      <w:r w:rsidR="00560648" w:rsidRPr="00947C46">
        <w:rPr>
          <w:color w:val="000000" w:themeColor="text1"/>
        </w:rPr>
        <w:t>www.privietlab.org</w:t>
      </w:r>
    </w:p>
    <w:p w14:paraId="391AD5DC" w14:textId="77777777" w:rsidR="00CD0D57" w:rsidRPr="00947C46" w:rsidRDefault="00CD0D57">
      <w:pPr>
        <w:pStyle w:val="BodyText"/>
        <w:spacing w:before="5"/>
        <w:ind w:left="0"/>
        <w:rPr>
          <w:color w:val="000000" w:themeColor="text1"/>
          <w:sz w:val="21"/>
        </w:rPr>
      </w:pPr>
    </w:p>
    <w:p w14:paraId="558B2CB1" w14:textId="65C485A1" w:rsidR="00CD0D57" w:rsidRPr="000F006A" w:rsidRDefault="00F04652">
      <w:pPr>
        <w:ind w:left="2700" w:right="2807"/>
        <w:jc w:val="center"/>
        <w:rPr>
          <w:b/>
          <w:color w:val="000000" w:themeColor="text1"/>
          <w:sz w:val="18"/>
          <w:lang w:val="id-ID"/>
        </w:rPr>
      </w:pPr>
      <w:r w:rsidRPr="00F04652">
        <w:rPr>
          <w:b/>
          <w:color w:val="000000" w:themeColor="text1"/>
          <w:spacing w:val="-1"/>
          <w:sz w:val="18"/>
        </w:rPr>
        <w:t>Journal of Economics and Business Letters</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pacing w:val="-1"/>
          <w:sz w:val="18"/>
        </w:rPr>
        <w:t>2021</w:t>
      </w:r>
      <w:r w:rsidR="009247FF" w:rsidRPr="000F006A">
        <w:rPr>
          <w:b/>
          <w:color w:val="000000" w:themeColor="text1"/>
          <w:spacing w:val="-1"/>
          <w:sz w:val="18"/>
        </w:rPr>
        <w:t>,</w:t>
      </w:r>
      <w:r w:rsidR="009247FF" w:rsidRPr="000F006A">
        <w:rPr>
          <w:b/>
          <w:color w:val="000000" w:themeColor="text1"/>
          <w:spacing w:val="-10"/>
          <w:sz w:val="18"/>
        </w:rPr>
        <w:t xml:space="preserve"> </w:t>
      </w:r>
      <w:r w:rsidR="000F006A">
        <w:rPr>
          <w:b/>
          <w:color w:val="000000" w:themeColor="text1"/>
          <w:spacing w:val="-1"/>
          <w:sz w:val="18"/>
          <w:lang w:val="id-ID"/>
        </w:rPr>
        <w:t>...........</w:t>
      </w:r>
    </w:p>
    <w:p w14:paraId="573E5EFC" w14:textId="77777777" w:rsidR="00CD0D57" w:rsidRPr="00947C46" w:rsidRDefault="00947C46">
      <w:pPr>
        <w:pStyle w:val="BodyText"/>
        <w:spacing w:before="4"/>
        <w:ind w:left="0"/>
        <w:rPr>
          <w:b/>
          <w:color w:val="000000" w:themeColor="text1"/>
        </w:rPr>
      </w:pPr>
      <w:r>
        <w:rPr>
          <w:noProof/>
        </w:rPr>
        <mc:AlternateContent>
          <mc:Choice Requires="wps">
            <w:drawing>
              <wp:anchor distT="0" distB="0" distL="0" distR="0" simplePos="0" relativeHeight="487588352" behindDoc="1" locked="0" layoutInCell="1" allowOverlap="1" wp14:anchorId="29C6A8CC" wp14:editId="433A1DCB">
                <wp:simplePos x="0" y="0"/>
                <wp:positionH relativeFrom="page">
                  <wp:posOffset>504190</wp:posOffset>
                </wp:positionH>
                <wp:positionV relativeFrom="paragraph">
                  <wp:posOffset>179705</wp:posOffset>
                </wp:positionV>
                <wp:extent cx="6764020" cy="1270"/>
                <wp:effectExtent l="0" t="0" r="17780" b="11430"/>
                <wp:wrapTopAndBottom/>
                <wp:docPr id="194"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1270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10B0F" id="Freeform 123" o:spid="_x0000_s1026" style="position:absolute;margin-left:39.7pt;margin-top:14.15pt;width:53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93JwMAAA0HAAAOAAAAZHJzL2Uyb0RvYy54bWysVduO2jAQfa/Uf7D8WInNhSRctLBaEagq&#10;9bLS0g8wiUOiJnZqG8K26r93PAlswrZVVZWHYDOHmTln7JPbu1NVkiNXupBiQb0blxIuEpkWYr+g&#10;n7eb0ZQSbZhIWSkFX9Anrund8vWr26aec1/msky5IpBE6HlTL2huTD13HJ3kvGL6RtZcQDCTqmIG&#10;tmrvpIo1kL0qHd91I6eRKq2VTLjW8GvcBukS82cZT8ynLNPckHJBoTeDT4XPnX06y1s23ytW50XS&#10;tcH+oYuKFQKKXlLFzDByUMWLVFWRKKllZm4SWTkyy4qEIwdg47lXbB5zVnPkAuLo+iKT/n9pk4/H&#10;B0WKFGY3CygRrIIhbRTnVnLi+WOrUFPrOQAf6wdlOer6vUy+aAg4g4jdaMCQXfNBppCHHYxEVU6Z&#10;quw/gS85ofhPF/H5yZAEfowmUeD6MKMEYp4/wdk4bH7+b3LQ5i2XmIcd32vTji6FFQqfds1vIUVW&#10;lTDFNw5xSUM8Nwr9btAXkDcA5cC0LQgTvGD8Hsb3gkkwHUdB9LuM4x7aJb/OCAr3Wotc+JAoDMfR&#10;dXvhn4Agyv5Mm+VnJZKT6KSAFWH2/m0DVL+W2qpuhQFpt54tBjkAZoV7RocDNLC3aDwAZ3T73ZVR&#10;cLmur5WiBK7VrqVTM2O7s0XskjQwV5wFybsJ21Alj3wrEWSuDgeUe46Woo/qEp2PESDbOCxsLSR4&#10;qW/b7p0eITdFWeLxKQV2BcN3kbyWZZHaqO1Hq/1uVSpyZGAe09Bde5tOugGsVtrETOctDkMtfyUP&#10;IsUyOWfpulsbVpTtGpu2heAKdDrZy4C28X3mztbT9TQYBX60HgVuHI/uN6tgFG28SRiP49Uq9n7Y&#10;nr1gnhdpyoVt+2xhXvB3FtGZaWs+FxMb0BuosMHPSxWcYRsoP3A5fyM7NAvrD62h7GT6BF6hZOvJ&#10;8A6BRS7VN0oa8OMF1V8PTHFKyncCDG/mBYE1cNwE4cQ6hepHdv0IEwmkWlBD4SbY5cq0pn+oVbHP&#10;oZKH8xbyHjwqK6yZYH9tV90GPBcZdO8Ha+r9PaKe32LLnwAAAP//AwBQSwMEFAAGAAgAAAAhAARP&#10;7ADbAAAACQEAAA8AAABkcnMvZG93bnJldi54bWxMj0FPhDAQhe8m/odmTLy5ZbGuK1I2BvVqdPXg&#10;cYCxEOmU0MLiv7ec9Pjmvbz3TX5YbC9mGn3nWMN2k4Agrl3TsdHw8f58tQfhA3KDvWPS8EMeDsX5&#10;WY5Z4078RvMxGBFL2GeooQ1hyKT0dUsW/cYNxNH7cqPFEOVoZDPiKZbbXqZJspMWO44LLQ5UtlR/&#10;HyerQakX+qQnV4YqSR+H18lgORutLy+Wh3sQgZbwF4YVP6JDEZkqN3HjRa/h9k7FpIZ0fw1i9bdK&#10;7UBU6+UGZJHL/x8UvwAAAP//AwBQSwECLQAUAAYACAAAACEAtoM4kv4AAADhAQAAEwAAAAAAAAAA&#10;AAAAAAAAAAAAW0NvbnRlbnRfVHlwZXNdLnhtbFBLAQItABQABgAIAAAAIQA4/SH/1gAAAJQBAAAL&#10;AAAAAAAAAAAAAAAAAC8BAABfcmVscy8ucmVsc1BLAQItABQABgAIAAAAIQAZal93JwMAAA0HAAAO&#10;AAAAAAAAAAAAAAAAAC4CAABkcnMvZTJvRG9jLnhtbFBLAQItABQABgAIAAAAIQAET+wA2wAAAAkB&#10;AAAPAAAAAAAAAAAAAAAAAIEFAABkcnMvZG93bnJldi54bWxQSwUGAAAAAAQABADzAAAAiQYAAAAA&#10;" path="m,l10652,e" filled="f" strokecolor="#850e1f" strokeweight="1pt">
                <v:path arrowok="t" o:connecttype="custom" o:connectlocs="0,0;2147483646,0" o:connectangles="0,0"/>
                <w10:wrap type="topAndBottom" anchorx="page"/>
              </v:shape>
            </w:pict>
          </mc:Fallback>
        </mc:AlternateContent>
      </w:r>
    </w:p>
    <w:p w14:paraId="0ECEDDD7" w14:textId="77777777" w:rsidR="00CD0D57" w:rsidRPr="00947C46" w:rsidRDefault="00CD0D57">
      <w:pPr>
        <w:pStyle w:val="BodyText"/>
        <w:spacing w:before="7"/>
        <w:ind w:left="0"/>
        <w:rPr>
          <w:b/>
          <w:color w:val="000000" w:themeColor="text1"/>
          <w:sz w:val="24"/>
        </w:rPr>
      </w:pPr>
    </w:p>
    <w:p w14:paraId="3DC8F660" w14:textId="6F3AFB59" w:rsidR="00DB38BE" w:rsidRPr="00F86901" w:rsidRDefault="00F86901" w:rsidP="00F86901">
      <w:pPr>
        <w:pStyle w:val="BodyText"/>
        <w:spacing w:before="7"/>
        <w:jc w:val="both"/>
        <w:rPr>
          <w:b/>
          <w:bCs/>
          <w:color w:val="000000" w:themeColor="text1"/>
          <w:sz w:val="38"/>
          <w:szCs w:val="38"/>
        </w:rPr>
      </w:pPr>
      <w:r w:rsidRPr="00F86901">
        <w:rPr>
          <w:b/>
          <w:bCs/>
          <w:color w:val="000000" w:themeColor="text1"/>
          <w:sz w:val="38"/>
          <w:szCs w:val="38"/>
        </w:rPr>
        <w:t>FACTOR</w:t>
      </w:r>
      <w:r>
        <w:rPr>
          <w:b/>
          <w:bCs/>
          <w:color w:val="000000" w:themeColor="text1"/>
          <w:sz w:val="38"/>
          <w:szCs w:val="38"/>
        </w:rPr>
        <w:t xml:space="preserve">S THAT INFLUENCE ON AUDIT DELAY </w:t>
      </w:r>
      <w:r w:rsidRPr="00F86901">
        <w:rPr>
          <w:b/>
          <w:bCs/>
          <w:color w:val="000000" w:themeColor="text1"/>
          <w:sz w:val="38"/>
          <w:szCs w:val="38"/>
        </w:rPr>
        <w:t>(CASE STUDY ON LQ-45 COMPANY LISTED ON THE INDONESIA STOCK EXCHANGE 2016-2019)</w:t>
      </w:r>
    </w:p>
    <w:p w14:paraId="28882B4F" w14:textId="77777777" w:rsidR="00F92025" w:rsidRPr="00F92025" w:rsidRDefault="00F92025" w:rsidP="00DB38BE">
      <w:pPr>
        <w:pStyle w:val="BodyText"/>
        <w:spacing w:before="7"/>
        <w:ind w:left="0"/>
        <w:jc w:val="both"/>
        <w:rPr>
          <w:b/>
          <w:color w:val="000000" w:themeColor="text1"/>
          <w:sz w:val="30"/>
          <w:szCs w:val="30"/>
          <w:lang w:val="id-ID"/>
        </w:rPr>
      </w:pPr>
    </w:p>
    <w:p w14:paraId="7167A0C6" w14:textId="0149B397" w:rsidR="00CD0D57" w:rsidRPr="00F86901" w:rsidRDefault="008354AE">
      <w:pPr>
        <w:pStyle w:val="Heading1"/>
        <w:ind w:firstLine="0"/>
        <w:rPr>
          <w:color w:val="000000" w:themeColor="text1"/>
        </w:rPr>
      </w:pPr>
      <w:r>
        <w:rPr>
          <w:color w:val="000000" w:themeColor="text1"/>
          <w:w w:val="95"/>
        </w:rPr>
        <w:t xml:space="preserve">Kampono Imam Yulianto, SE, Ak, M.Ak, </w:t>
      </w:r>
      <w:r w:rsidR="00F86901" w:rsidRPr="00F86901">
        <w:rPr>
          <w:color w:val="000000" w:themeColor="text1"/>
          <w:w w:val="95"/>
        </w:rPr>
        <w:t>CA</w:t>
      </w:r>
    </w:p>
    <w:p w14:paraId="2F8FCDA2" w14:textId="06A2AC36" w:rsidR="00CD0D57" w:rsidRPr="00947C46" w:rsidRDefault="00F86901">
      <w:pPr>
        <w:pStyle w:val="BodyText"/>
        <w:spacing w:before="1"/>
        <w:ind w:left="0"/>
        <w:rPr>
          <w:b/>
          <w:color w:val="000000" w:themeColor="text1"/>
          <w:sz w:val="23"/>
        </w:rPr>
      </w:pPr>
      <w:r>
        <w:rPr>
          <w:b/>
          <w:color w:val="000000" w:themeColor="text1"/>
          <w:sz w:val="23"/>
        </w:rPr>
        <w:t xml:space="preserve"> </w:t>
      </w:r>
    </w:p>
    <w:p w14:paraId="3AD08383" w14:textId="410BBF39" w:rsidR="00CD0D57" w:rsidRPr="00DB38BE" w:rsidRDefault="00F86901">
      <w:pPr>
        <w:pStyle w:val="BodyText"/>
        <w:rPr>
          <w:color w:val="000000" w:themeColor="text1"/>
          <w:lang w:val="id-ID"/>
        </w:rPr>
      </w:pPr>
      <w:r w:rsidRPr="0084558B">
        <w:t>Institut Bisnis dan Informatika Kosgoro 1957</w:t>
      </w:r>
      <w:r w:rsidR="00F92025">
        <w:rPr>
          <w:color w:val="000000" w:themeColor="text1"/>
          <w:lang w:val="id-ID"/>
        </w:rPr>
        <w:t>, Indonesia</w:t>
      </w:r>
    </w:p>
    <w:p w14:paraId="6C521340" w14:textId="36944599" w:rsidR="00CD0D57" w:rsidRPr="008667CD" w:rsidRDefault="009247FF">
      <w:pPr>
        <w:pStyle w:val="BodyText"/>
        <w:spacing w:before="10"/>
        <w:rPr>
          <w:color w:val="000000" w:themeColor="text1"/>
          <w:vertAlign w:val="subscript"/>
          <w:lang w:val="id-ID"/>
        </w:rPr>
      </w:pPr>
      <w:r w:rsidRPr="00947C46">
        <w:rPr>
          <w:color w:val="000000" w:themeColor="text1"/>
        </w:rPr>
        <w:t xml:space="preserve">Email: </w:t>
      </w:r>
      <w:r w:rsidR="00F86901" w:rsidRPr="00F86901">
        <w:rPr>
          <w:color w:val="000000" w:themeColor="text1"/>
        </w:rPr>
        <w:t>kamponoyulianto@yahoo.co.id</w:t>
      </w:r>
      <w:r w:rsidR="008667CD">
        <w:rPr>
          <w:bCs/>
          <w:lang w:val="id-ID"/>
        </w:rPr>
        <w:t xml:space="preserve"> </w:t>
      </w:r>
    </w:p>
    <w:p w14:paraId="23B97636" w14:textId="77777777" w:rsidR="00CD0D57" w:rsidRPr="00947C46" w:rsidRDefault="00CD0D57">
      <w:pPr>
        <w:pStyle w:val="BodyText"/>
        <w:spacing w:before="7"/>
        <w:ind w:left="0"/>
        <w:rPr>
          <w:color w:val="000000" w:themeColor="text1"/>
          <w:sz w:val="21"/>
        </w:rPr>
      </w:pPr>
    </w:p>
    <w:p w14:paraId="1CF8C81E" w14:textId="25239D18" w:rsidR="00CD0D57" w:rsidRPr="00947C46" w:rsidRDefault="009247FF">
      <w:pPr>
        <w:tabs>
          <w:tab w:val="left" w:pos="4532"/>
          <w:tab w:val="left" w:pos="7655"/>
        </w:tabs>
        <w:ind w:left="114"/>
        <w:rPr>
          <w:color w:val="000000" w:themeColor="text1"/>
          <w:sz w:val="18"/>
        </w:rPr>
      </w:pPr>
      <w:r w:rsidRPr="00947C46">
        <w:rPr>
          <w:b/>
          <w:color w:val="000000" w:themeColor="text1"/>
          <w:sz w:val="18"/>
        </w:rPr>
        <w:t>Received:</w:t>
      </w:r>
      <w:r w:rsidRPr="00947C46">
        <w:rPr>
          <w:color w:val="000000" w:themeColor="text1"/>
          <w:sz w:val="18"/>
        </w:rPr>
        <w:tab/>
      </w:r>
      <w:r w:rsidRPr="00947C46">
        <w:rPr>
          <w:b/>
          <w:color w:val="000000" w:themeColor="text1"/>
          <w:spacing w:val="-1"/>
          <w:sz w:val="18"/>
        </w:rPr>
        <w:t>Accepted:</w:t>
      </w:r>
      <w:r w:rsidRPr="00947C46">
        <w:rPr>
          <w:color w:val="000000" w:themeColor="text1"/>
          <w:sz w:val="18"/>
        </w:rPr>
        <w:tab/>
      </w:r>
      <w:r w:rsidRPr="00947C46">
        <w:rPr>
          <w:b/>
          <w:color w:val="000000" w:themeColor="text1"/>
          <w:sz w:val="18"/>
        </w:rPr>
        <w:t>DOI:</w:t>
      </w:r>
      <w:r w:rsidRPr="00947C46">
        <w:rPr>
          <w:b/>
          <w:color w:val="000000" w:themeColor="text1"/>
          <w:spacing w:val="-6"/>
          <w:sz w:val="18"/>
        </w:rPr>
        <w:t xml:space="preserve"> </w:t>
      </w:r>
    </w:p>
    <w:p w14:paraId="0F21D9DA" w14:textId="77777777" w:rsidR="00CD0D57" w:rsidRPr="00947C46" w:rsidRDefault="00947C46">
      <w:pPr>
        <w:pStyle w:val="BodyText"/>
        <w:spacing w:before="5"/>
        <w:ind w:left="0"/>
        <w:rPr>
          <w:color w:val="000000" w:themeColor="text1"/>
          <w:sz w:val="14"/>
        </w:rPr>
      </w:pPr>
      <w:r>
        <w:rPr>
          <w:noProof/>
        </w:rPr>
        <mc:AlternateContent>
          <mc:Choice Requires="wps">
            <w:drawing>
              <wp:anchor distT="0" distB="0" distL="0" distR="0" simplePos="0" relativeHeight="487588864" behindDoc="1" locked="0" layoutInCell="1" allowOverlap="1" wp14:anchorId="7D3E29F9" wp14:editId="28A2D65E">
                <wp:simplePos x="0" y="0"/>
                <wp:positionH relativeFrom="page">
                  <wp:posOffset>504190</wp:posOffset>
                </wp:positionH>
                <wp:positionV relativeFrom="paragraph">
                  <wp:posOffset>133985</wp:posOffset>
                </wp:positionV>
                <wp:extent cx="6764020" cy="1270"/>
                <wp:effectExtent l="0" t="0" r="17780" b="11430"/>
                <wp:wrapTopAndBottom/>
                <wp:docPr id="19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27B17" id="Freeform 122" o:spid="_x0000_s1026" style="position:absolute;margin-left:39.7pt;margin-top:10.55pt;width:53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KTJgMAAAwHAAAOAAAAZHJzL2Uyb0RvYy54bWysVduOmzAQfa/Uf7D8WCnLJUAu2mS1CklV&#10;aduutOkHOGACKtjUdkK2q/57ZwzJwm5bVVXzQAxzmJlzxj5c35yqkhy50oUUC+pduZRwkci0EPsF&#10;/bLdjKaUaMNEykop+II+ck1vlm/fXDf1nPsyl2XKFYEkQs+bekFzY+q54+gk5xXTV7LmAoKZVBUz&#10;cKv2TqpYA9mr0vFdN3IaqdJayYRrDU/jNkiXNn+W8cR8zjLNDSkXFHoz9qrsdYdXZ3nN5nvF6rxI&#10;ujbYP3RRsUJA0UuqmBlGDqp4laoqEiW1zMxVIitHZlmRcMsB2HjuCzYPOau55QLi6Poik/5/aZNP&#10;x3tFihRmNxtTIlgFQ9oozlFy4vk+KtTUeg7Ah/peIUdd38nkq4aAM4jgjQYM2TUfZQp52MFIq8op&#10;UxW+CXzJyYr/eBGfnwxJ4GE0iQLXhxklEPP8iZ2Nw+bnd5ODNu+5tHnY8U6bdnQprKzwadf8FlJk&#10;VQlTfOcQlzTEc6PQ0oDpXEDeAJQD07ZgH+P3ML4XTILpOAqi32UE9Xplf50xGGAiF34kCsNx1O3D&#10;S3vhn4Agyv5Mm+VnJZKT6KSAFWF4/raBVb+WGlVHYUDarYfFIAfAULhndDhAA3tEj/vo9q2ujILD&#10;9fJYKUrgWO1aOjUz2B0WwSVpYK52FiTvJoyhSh75VlqQebE5oNxztBR9VJfovI0A2cZhgbUswUt9&#10;bLu3e4TcFGVpt08psKtoHLqWu5ZlkWIQ29Fqv1uVihwZeMc0dNfeptNiAKuVNjHTeYuzoZa+kgeR&#10;2io5Z+m6WxtWlO3a9oyF4AR0MuFZsK7xNHNn6+l6GowCP1qPAjeOR7ebVTCKNt4kjMfxahV7P7Bn&#10;L5jnRZpygW2fHcwL/s4hOi9tvefiYQN6AxU29vdaBWfYhlUfuJz/LTvrFWgPrZ/sZPoIVqFka8nw&#10;CYFFLtV3Shqw4wXV3w5McUrKDwL8buYFAfq3vQnCCRqF6kd2/QgTCaRaUEPhIOByZVrPP9Sq2OdQ&#10;ybPzFvIWLCor0Etsf21X3Q1YrmXQfR7Q0/v3FvX8EVv+BAAA//8DAFBLAwQUAAYACAAAACEAR3SR&#10;QOAAAAAJAQAADwAAAGRycy9kb3ducmV2LnhtbEyPwU7DMBBE70j8g7VI3KiTEkob4lQBBBUHDqSA&#10;xM1JliTCXkex27h/j3OC4+yMZt5mW68VO+Joe0MC4kUEDKk2TU+tgPf909UamHWSGqkMoYATWtjm&#10;52eZTBsz0RseS9eyUEI2lQI654aUc1t3qKVdmAEpeN9m1NIFOba8GeUUyrXiyyhacS17CgudHPCh&#10;w/qnPGgB/tn3X6/q9LipXj5vio+yoPvdJMTlhS/ugDn07i8MM35AhzwwVeZAjWVKwO0mCUkByzgG&#10;NvtxkqyAVfPlGnie8f8f5L8AAAD//wMAUEsBAi0AFAAGAAgAAAAhALaDOJL+AAAA4QEAABMAAAAA&#10;AAAAAAAAAAAAAAAAAFtDb250ZW50X1R5cGVzXS54bWxQSwECLQAUAAYACAAAACEAOP0h/9YAAACU&#10;AQAACwAAAAAAAAAAAAAAAAAvAQAAX3JlbHMvLnJlbHNQSwECLQAUAAYACAAAACEAsaSykyYDAAAM&#10;BwAADgAAAAAAAAAAAAAAAAAuAgAAZHJzL2Uyb0RvYy54bWxQSwECLQAUAAYACAAAACEAR3SRQOAA&#10;AAAJAQAADwAAAAAAAAAAAAAAAACABQAAZHJzL2Rvd25yZXYueG1sUEsFBgAAAAAEAAQA8wAAAI0G&#10;AAAAAA==&#10;" path="m,l10652,e" filled="f" strokecolor="#850e1f" strokeweight=".5pt">
                <v:path arrowok="t" o:connecttype="custom" o:connectlocs="0,0;2147483646,0" o:connectangles="0,0"/>
                <w10:wrap type="topAndBottom" anchorx="page"/>
              </v:shape>
            </w:pict>
          </mc:Fallback>
        </mc:AlternateContent>
      </w:r>
    </w:p>
    <w:p w14:paraId="2F1FD614" w14:textId="77777777" w:rsidR="0024547D" w:rsidRDefault="009247FF" w:rsidP="008667CD">
      <w:pPr>
        <w:ind w:left="117"/>
        <w:rPr>
          <w:lang w:val="id-ID"/>
        </w:rPr>
      </w:pPr>
      <w:r w:rsidRPr="00947C46">
        <w:rPr>
          <w:b/>
          <w:color w:val="000000" w:themeColor="text1"/>
          <w:sz w:val="18"/>
        </w:rPr>
        <w:t>ABSTRACT</w:t>
      </w:r>
      <w:r w:rsidR="0024547D" w:rsidRPr="0024547D">
        <w:t xml:space="preserve"> </w:t>
      </w:r>
    </w:p>
    <w:p w14:paraId="1370955C" w14:textId="15F083A2" w:rsidR="00F86901" w:rsidRDefault="00F86901" w:rsidP="008667CD">
      <w:pPr>
        <w:ind w:left="114"/>
        <w:jc w:val="both"/>
        <w:rPr>
          <w:color w:val="000000" w:themeColor="text1"/>
          <w:sz w:val="18"/>
          <w:lang w:val="id-ID"/>
        </w:rPr>
      </w:pPr>
      <w:r w:rsidRPr="00F86901">
        <w:rPr>
          <w:color w:val="000000" w:themeColor="text1"/>
          <w:sz w:val="18"/>
          <w:lang w:val="id-ID"/>
        </w:rPr>
        <w:t>This study aims to analyze the effect of company size, KAP size, and profitability on audit delay. The population used is all LQ 45 companies listed on the Indonesia Stock Exchange (IDX) in the 2016 to 2019 period. Sampling was 17 companies. The research method in this study uses descriptive statistical analysis and multiple linear regression analysis with 3 classical assumption tests. The results of this study indicate that the firm size variable has a significant positive effect on audit delay, and the profitability variable has a negative and significant effect on audit delay. Meanwhile, the KAP size variable has no effect on audit delay. Taken together, all variables (firm size, firm size, and profitability) also have an effect on audit delay.</w:t>
      </w:r>
    </w:p>
    <w:p w14:paraId="7A7B4E0D" w14:textId="2AD50D6A" w:rsidR="00CD0D57" w:rsidRPr="00C16753" w:rsidRDefault="009247FF" w:rsidP="003226C0">
      <w:pPr>
        <w:spacing w:before="139"/>
        <w:ind w:left="114"/>
        <w:jc w:val="both"/>
        <w:rPr>
          <w:color w:val="000000" w:themeColor="text1"/>
          <w:sz w:val="18"/>
          <w:lang w:val="id-ID"/>
        </w:rPr>
      </w:pPr>
      <w:r w:rsidRPr="00947C46">
        <w:rPr>
          <w:b/>
          <w:color w:val="000000" w:themeColor="text1"/>
          <w:spacing w:val="-1"/>
          <w:sz w:val="18"/>
        </w:rPr>
        <w:t>Keywords:</w:t>
      </w:r>
      <w:r w:rsidRPr="00947C46">
        <w:rPr>
          <w:b/>
          <w:color w:val="000000" w:themeColor="text1"/>
          <w:sz w:val="18"/>
        </w:rPr>
        <w:t xml:space="preserve"> </w:t>
      </w:r>
      <w:r w:rsidR="00F86901" w:rsidRPr="00F86901">
        <w:rPr>
          <w:b/>
          <w:color w:val="000000" w:themeColor="text1"/>
          <w:sz w:val="18"/>
        </w:rPr>
        <w:t>Company Size, KAP Size, Profitability, Audit Delay</w:t>
      </w:r>
    </w:p>
    <w:p w14:paraId="676E5390" w14:textId="5D09EA22" w:rsidR="00CD0D57" w:rsidRPr="00947C46" w:rsidRDefault="00947C46">
      <w:pPr>
        <w:spacing w:before="9"/>
        <w:ind w:left="114"/>
        <w:rPr>
          <w:color w:val="000000" w:themeColor="text1"/>
          <w:sz w:val="18"/>
        </w:rPr>
      </w:pPr>
      <w:r>
        <w:rPr>
          <w:noProof/>
        </w:rPr>
        <mc:AlternateContent>
          <mc:Choice Requires="wps">
            <w:drawing>
              <wp:anchor distT="0" distB="0" distL="0" distR="0" simplePos="0" relativeHeight="487589376" behindDoc="1" locked="0" layoutInCell="1" allowOverlap="1" wp14:anchorId="07C5EEAE" wp14:editId="014F1539">
                <wp:simplePos x="0" y="0"/>
                <wp:positionH relativeFrom="page">
                  <wp:posOffset>504190</wp:posOffset>
                </wp:positionH>
                <wp:positionV relativeFrom="paragraph">
                  <wp:posOffset>187960</wp:posOffset>
                </wp:positionV>
                <wp:extent cx="6764020" cy="1270"/>
                <wp:effectExtent l="0" t="0" r="17780" b="11430"/>
                <wp:wrapTopAndBottom/>
                <wp:docPr id="192"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F21F" id="Freeform 121" o:spid="_x0000_s1026" style="position:absolute;margin-left:39.7pt;margin-top:14.8pt;width:53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84JwMAAAwHAAAOAAAAZHJzL2Uyb0RvYy54bWysVduOmzAQfa/Uf7D8WCnLJUAu2mS1CklV&#10;qZeVNv0AB0xABZvaTsi26r93xhA2ZNuqqpoHYjOHmTNn8OH27lSV5MiVLqRYUO/GpYSLRKaF2C/o&#10;5+1mNKVEGyZSVkrBF/SJa3q3fP3qtqnn3Je5LFOuCCQRet7UC5obU88dRyc5r5i+kTUXEMykqpiB&#10;rdo7qWINZK9Kx3fdyGmkSmslE6413I3bIF3a/FnGE/MpyzQ3pFxQ4GbsVdnrDq/O8pbN94rVeZF0&#10;NNg/sKhYIaBonypmhpGDKl6kqopESS0zc5PIypFZViTc9gDdeO5VN485q7ntBcTRdS+T/n9pk4/H&#10;B0WKFGY38ykRrIIhbRTnKDnxfA8Vamo9B+Bj/aCwR12/l8kXDQFnEMGNBgzZNR9kCnnYwUiryilT&#10;FT4J/ZKTFf+pF5+fDEngZjSJAteHGSUQ8/yJnY3D5udnk4M2b7m0edjxvTbt6FJYWeHTjvwWUmRV&#10;CVN84xCXNMRzo9DvBt2DvAEoh07bgjDBHgN69Il8L5gE03EURL/LOL5Au+TXGYMBJnLhR6IwHEfX&#10;9MI/AUGU/bltlp+VSE6ikwJWhOH52wZW/VpqVB2FAWm3dqSQA2Ao3DM6HKChe0SPkdoZ3f53ZRQc&#10;rutjpSiBY7Vr26mZQXZYBJekgbnaWZC8mzCGKnnkW2lB5urlgHLP0VJcorpE59cIkG0cFljLUu7r&#10;I+2Lt0fITVGW9vUpBbKKxqFre9eyLFIMIh2t9rtVqciRgXdMQ3ftbTotBrBaaRMznbc4G2rbV/Ig&#10;Ulsl5yxdd2vDirJdW85YCE5AJxOeBesa32fubD1dT4NR4EfrUeDG8eh+swpG0cabhPE4Xq1i7wdy&#10;9oJ5XqQpF0j77GBe8HcO0Xlp6z29hw3aG6iwsb+XKjhDGlZ96OX8b7uzXoH20PrJTqZPYBVKtpYM&#10;nxBY5FJ9o6QBO15Q/fXAFKekfCfA72ZeEKB/200QTtAo1GVkdxlhIoFUC2ooHARcrkzr+YdaFfsc&#10;Knl23kLeg0VlBXqJ5dey6jZgubaD7vOAnn65t6jnj9jyJwAAAP//AwBQSwMEFAAGAAgAAAAhAJCq&#10;7vTgAAAACQEAAA8AAABkcnMvZG93bnJldi54bWxMj8FOwzAQRO9I/IO1SNyo0yqUJsSpAghQDxxI&#10;CxI3J16SCHsdxW6T/j3OCW67O6PZN9l2MpqdcHCdJQHLRQQMqbaqo0bAYf98swHmvCQltSUUcEYH&#10;2/zyIpOpsiO946n0DQsh5FIpoPW+Tzl3dYtGuoXtkYL2bQcjfViHhqtBjiHcaL6KojU3sqPwoZU9&#10;PrZY/5RHI2B6mbqvN31+Sqrd523xURb08DoKcX01FffAPE7+zwwzfkCHPDBV9kjKMS3gLomDU8Aq&#10;WQOb9WUch6maLxvgecb/N8h/AQAA//8DAFBLAQItABQABgAIAAAAIQC2gziS/gAAAOEBAAATAAAA&#10;AAAAAAAAAAAAAAAAAABbQ29udGVudF9UeXBlc10ueG1sUEsBAi0AFAAGAAgAAAAhADj9If/WAAAA&#10;lAEAAAsAAAAAAAAAAAAAAAAALwEAAF9yZWxzLy5yZWxzUEsBAi0AFAAGAAgAAAAhAKdKTzgnAwAA&#10;DAcAAA4AAAAAAAAAAAAAAAAALgIAAGRycy9lMm9Eb2MueG1sUEsBAi0AFAAGAAgAAAAhAJCq7vTg&#10;AAAACQEAAA8AAAAAAAAAAAAAAAAAgQUAAGRycy9kb3ducmV2LnhtbFBLBQYAAAAABAAEAPMAAACO&#10;BgAAAAA=&#10;" path="m,l10652,e" filled="f" strokecolor="#850e1f" strokeweight=".5pt">
                <v:path arrowok="t" o:connecttype="custom" o:connectlocs="0,0;2147483646,0" o:connectangles="0,0"/>
                <w10:wrap type="topAndBottom" anchorx="page"/>
              </v:shape>
            </w:pict>
          </mc:Fallback>
        </mc:AlternateContent>
      </w:r>
      <w:r w:rsidR="009247FF" w:rsidRPr="00947C46">
        <w:rPr>
          <w:b/>
          <w:color w:val="000000" w:themeColor="text1"/>
          <w:w w:val="95"/>
          <w:sz w:val="18"/>
        </w:rPr>
        <w:t>JEL</w:t>
      </w:r>
      <w:r w:rsidR="009247FF" w:rsidRPr="00947C46">
        <w:rPr>
          <w:b/>
          <w:color w:val="000000" w:themeColor="text1"/>
          <w:spacing w:val="8"/>
          <w:w w:val="95"/>
          <w:sz w:val="18"/>
        </w:rPr>
        <w:t xml:space="preserve"> </w:t>
      </w:r>
      <w:r w:rsidR="009247FF" w:rsidRPr="00947C46">
        <w:rPr>
          <w:b/>
          <w:color w:val="000000" w:themeColor="text1"/>
          <w:w w:val="95"/>
          <w:sz w:val="18"/>
        </w:rPr>
        <w:t>Classifications:</w:t>
      </w:r>
      <w:r w:rsidR="009247FF" w:rsidRPr="00947C46">
        <w:rPr>
          <w:b/>
          <w:color w:val="000000" w:themeColor="text1"/>
          <w:spacing w:val="21"/>
          <w:w w:val="95"/>
          <w:sz w:val="18"/>
        </w:rPr>
        <w:t xml:space="preserve"> </w:t>
      </w:r>
      <w:r w:rsidR="00A632E6" w:rsidRPr="00A632E6">
        <w:rPr>
          <w:color w:val="000000" w:themeColor="text1"/>
          <w:w w:val="95"/>
          <w:sz w:val="18"/>
        </w:rPr>
        <w:t>JEL Classifications codes.</w:t>
      </w:r>
    </w:p>
    <w:p w14:paraId="0E88AB7C" w14:textId="77777777" w:rsidR="00CD0D57" w:rsidRPr="00947C46" w:rsidRDefault="00CD0D57">
      <w:pPr>
        <w:pStyle w:val="BodyText"/>
        <w:ind w:left="0"/>
        <w:rPr>
          <w:color w:val="000000" w:themeColor="text1"/>
        </w:rPr>
      </w:pPr>
    </w:p>
    <w:p w14:paraId="2C27644D" w14:textId="77777777" w:rsidR="00CD0D57" w:rsidRPr="00947C46" w:rsidRDefault="00CD0D57">
      <w:pPr>
        <w:pStyle w:val="BodyText"/>
        <w:spacing w:before="2"/>
        <w:ind w:left="0"/>
        <w:rPr>
          <w:color w:val="000000" w:themeColor="text1"/>
          <w:sz w:val="16"/>
        </w:rPr>
      </w:pPr>
    </w:p>
    <w:p w14:paraId="7E3FB6E9" w14:textId="77777777" w:rsidR="00CD0D57" w:rsidRPr="00947C46" w:rsidRDefault="00CD0D57">
      <w:pPr>
        <w:rPr>
          <w:color w:val="000000" w:themeColor="text1"/>
          <w:sz w:val="16"/>
        </w:rPr>
        <w:sectPr w:rsidR="00CD0D57" w:rsidRPr="00947C46" w:rsidSect="00947C46">
          <w:footerReference w:type="even" r:id="rId9"/>
          <w:footerReference w:type="default" r:id="rId10"/>
          <w:type w:val="continuous"/>
          <w:pgSz w:w="12240" w:h="15840"/>
          <w:pgMar w:top="940" w:right="680" w:bottom="560" w:left="680" w:header="720" w:footer="361" w:gutter="0"/>
          <w:pgNumType w:start="1"/>
          <w:cols w:space="720"/>
          <w:docGrid w:linePitch="299"/>
        </w:sectPr>
      </w:pPr>
    </w:p>
    <w:p w14:paraId="6D58F9C9" w14:textId="77777777" w:rsidR="00CD0D57" w:rsidRPr="00947C46" w:rsidRDefault="009247FF" w:rsidP="003E469F">
      <w:pPr>
        <w:pStyle w:val="Heading1"/>
        <w:numPr>
          <w:ilvl w:val="0"/>
          <w:numId w:val="1"/>
        </w:numPr>
        <w:tabs>
          <w:tab w:val="left" w:pos="1798"/>
        </w:tabs>
        <w:spacing w:before="90"/>
        <w:jc w:val="left"/>
        <w:rPr>
          <w:color w:val="000000" w:themeColor="text1"/>
        </w:rPr>
      </w:pPr>
      <w:r w:rsidRPr="00947C46">
        <w:rPr>
          <w:color w:val="000000" w:themeColor="text1"/>
        </w:rPr>
        <w:lastRenderedPageBreak/>
        <w:t>INTRODUCTION</w:t>
      </w:r>
    </w:p>
    <w:p w14:paraId="097378A7" w14:textId="77777777" w:rsidR="00CD0D57" w:rsidRPr="00947C46" w:rsidRDefault="00CD0D57">
      <w:pPr>
        <w:pStyle w:val="BodyText"/>
        <w:spacing w:before="4"/>
        <w:ind w:left="0"/>
        <w:rPr>
          <w:b/>
          <w:color w:val="000000" w:themeColor="text1"/>
          <w:sz w:val="21"/>
        </w:rPr>
      </w:pPr>
    </w:p>
    <w:p w14:paraId="7349F87C" w14:textId="77777777"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The development of the business world in Indonesia in recent years has been very rapid. This is indicated by the number of companies listed on the Indonesia Stock Exchange as go public companies. In the January 2020 period, there were 677 companies listed on the Indonesia Stock Exchange. Every company that has been listed on the IDX is required to submit financial statements that have been prepared.</w:t>
      </w:r>
    </w:p>
    <w:p w14:paraId="76CCB472" w14:textId="77777777"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 xml:space="preserve">Financial statements are one of the most important instruments in a company. Especially for companies that have gone public, financial reports that have been audited by public accountants have become a must to be published. The timely submission of financial statements is very important because it becomes the basis for decisions for investors. If the delay in submitting financial statements is too long, then the value of the information contained in the report is </w:t>
      </w:r>
      <w:r w:rsidR="006516E4">
        <w:rPr>
          <w:color w:val="000000" w:themeColor="text1"/>
          <w:lang w:val="id-ID"/>
        </w:rPr>
        <w:t>considered to be less relevant.</w:t>
      </w:r>
    </w:p>
    <w:p w14:paraId="5F1F8452" w14:textId="77777777"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 xml:space="preserve">It is stated in the Financial Services Authority Regulation Number 29/POJK.04/2016 concerning the annual report of issuers or public companies whose statements submit an annual report to the Financial Services Authority no later than 4 (four) </w:t>
      </w:r>
      <w:r w:rsidRPr="00F86901">
        <w:rPr>
          <w:color w:val="000000" w:themeColor="text1"/>
          <w:lang w:val="id-ID"/>
        </w:rPr>
        <w:lastRenderedPageBreak/>
        <w:t xml:space="preserve">months after the financial year ends. If the company does not comply with these regulations, it will be subject to administrative sanctions. In accordance with Government Regulation No. 45 of 1995 concerning the Implementation of Activities in the Capital Market Sector Chapter XII article 63 letter e that every public company listed on the Indonesia Stock Exchange (IDX) will be subject to a fine of Rp. 1,000,000.00 (one million rupiah). for each day of delay in the submission of financial reports with a total fine of a maximum of Rp. 500,000,000.00 </w:t>
      </w:r>
      <w:r w:rsidR="006516E4">
        <w:rPr>
          <w:color w:val="000000" w:themeColor="text1"/>
          <w:lang w:val="id-ID"/>
        </w:rPr>
        <w:t>(five hundred million rupiahs).</w:t>
      </w:r>
    </w:p>
    <w:p w14:paraId="239FC9B0" w14:textId="13E00EBA"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In order to avoid these administrative sanctions, the company seeks to submit an annual report less than the time limit given by the Financial Services Authority (OJK). However, in reality there are still many companies that are late in submitting their annual reports. As revealed by the records of the Indonesia Stock Exchange (IDX) as of August 8, 2019, there were still 107 companies/issuers that had not submitted their annual financ</w:t>
      </w:r>
      <w:r w:rsidR="008F5828">
        <w:rPr>
          <w:color w:val="000000" w:themeColor="text1"/>
          <w:lang w:val="id-ID"/>
        </w:rPr>
        <w:t>ial reports</w:t>
      </w:r>
      <w:r w:rsidRPr="00F86901">
        <w:rPr>
          <w:color w:val="000000" w:themeColor="text1"/>
          <w:lang w:val="id-ID"/>
        </w:rPr>
        <w:t xml:space="preserve">. However, several companies were late in submitting because the companies recorded financial statements for different financial years, namely in March, May, and June. If the company is late in publishing financial statements, it can indicate a problem in the financial statements. Delayed information can cause a negative reaction from capital </w:t>
      </w:r>
      <w:r w:rsidRPr="00F86901">
        <w:rPr>
          <w:color w:val="000000" w:themeColor="text1"/>
          <w:lang w:val="id-ID"/>
        </w:rPr>
        <w:lastRenderedPageBreak/>
        <w:t xml:space="preserve">market players, one of which is from the investor side as the party who has the ownership rights of the company. Because in general investors think that the delay in financial statements is a bad sign for </w:t>
      </w:r>
      <w:r w:rsidR="006516E4">
        <w:rPr>
          <w:color w:val="000000" w:themeColor="text1"/>
          <w:lang w:val="id-ID"/>
        </w:rPr>
        <w:t>the company's health condition.</w:t>
      </w:r>
    </w:p>
    <w:p w14:paraId="687E1267" w14:textId="77777777"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The timeliness of the submission of financial statements is one of investors' benchmarks for the condition of a company. The delay in submitting financial statements is allegedly able to give negative opinions to shareholders. The possibility of poor financial conditions or low profit levels is the cause of delays in the submission of</w:t>
      </w:r>
      <w:r w:rsidR="006516E4">
        <w:rPr>
          <w:color w:val="000000" w:themeColor="text1"/>
          <w:lang w:val="id-ID"/>
        </w:rPr>
        <w:t xml:space="preserve"> financial statements.</w:t>
      </w:r>
    </w:p>
    <w:p w14:paraId="303A26F5" w14:textId="751C40DC"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In the past few years, there have been many cases of delays in the submission of annual financial reports by issuers that have been listed on the IDX. This is an indication that there are problems in the financial statements that require a longer audit completion time than usual. In 2015 IDX reported that there were 52 issuers that had not submitted audited financial reports as of December 2014. In 2016 IDX noted that there were 63 listed companies or issuers who had not submitted the 2015 annual report on time until May 2, 2016. In 2017 the IDX stated that there were 70 public companies or issuers that had not submitted their financial statements for the first quarter of 2017. In 2018 the IDX stated that there were 18 companies that had not submitted their financial statements for the third quarter of 2018. In 2019 IDX stated that there were 107 companies that had not submitted their financial reports. Various studies on audit delay have been carried out. In this study, the factors that were re-examined were the effect of firm size, KAP size, and profitability on audit delay.</w:t>
      </w:r>
    </w:p>
    <w:p w14:paraId="01041DA8" w14:textId="2CE16BD5"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 xml:space="preserve">The reputation factor or the size of the KAP is also one of the factors influencing audit delay. The size of the KAP is divided into two, namely the big four KAP and the non-big four KAP. KAP the big four is believed to be able to work more efficiently in planning audits, has more human resources, and is more experienced in conducting audits. This is in </w:t>
      </w:r>
      <w:r w:rsidR="00DA3847">
        <w:rPr>
          <w:color w:val="000000" w:themeColor="text1"/>
          <w:lang w:val="id-ID"/>
        </w:rPr>
        <w:t xml:space="preserve">line with research conducted by </w:t>
      </w:r>
      <w:r w:rsidR="00DA3847">
        <w:rPr>
          <w:color w:val="000000" w:themeColor="text1"/>
          <w:lang w:val="id-ID"/>
        </w:rPr>
        <w:fldChar w:fldCharType="begin" w:fldLock="1"/>
      </w:r>
      <w:r w:rsidR="00DA3847">
        <w:rPr>
          <w:color w:val="000000" w:themeColor="text1"/>
          <w:lang w:val="id-ID"/>
        </w:rPr>
        <w:instrText>ADDIN CSL_CITATION {"citationItems":[{"id":"ITEM-1","itemData":{"ISSN":"2502-5430","author":[{"dropping-particle":"","family":"Amani","given":"Fauziyah Althaf","non-dropping-particle":"","parse-names":false,"suffix":""},{"dropping-particle":"","family":"Waluyo","given":"Indarto","non-dropping-particle":"","parse-names":false,"suffix":""}],"container-title":"Nominal: Barometer Riset Akuntansi dan Manajemen","id":"ITEM-1","issue":"1","issued":{"date-parts":[["2016"]]},"page":"135-150","title":"Pengaruh Ukuran Perusahaan, Profitabilitas, Opini Audit, Dan Umur Perusahaan Terhadap Audit Delay (Studi Empiris pada Perusahaan Property dan Real Estate yang Terdaftar di Bursa Efek Indonesia pada Tahun 2012-2014)","type":"article-journal","volume":"5"},"uris":["http://www.mendeley.com/documents/?uuid=fcf537d3-c8c9-4a6a-98d3-346a9a412446"]}],"mendeley":{"formattedCitation":"(Amani &amp; Waluyo, 2016)","manualFormatting":"Amani &amp; Waluyo (2016)","plainTextFormattedCitation":"(Amani &amp; Waluyo, 2016)","previouslyFormattedCitation":"(Amani &amp; Waluyo, 2016)"},"properties":{"noteIndex":0},"schema":"https://github.com/citation-style-language/schema/raw/master/csl-citation.json"}</w:instrText>
      </w:r>
      <w:r w:rsidR="00DA3847">
        <w:rPr>
          <w:color w:val="000000" w:themeColor="text1"/>
          <w:lang w:val="id-ID"/>
        </w:rPr>
        <w:fldChar w:fldCharType="separate"/>
      </w:r>
      <w:r w:rsidR="00DA3847">
        <w:rPr>
          <w:noProof/>
          <w:color w:val="000000" w:themeColor="text1"/>
          <w:lang w:val="id-ID"/>
        </w:rPr>
        <w:t xml:space="preserve">Amani &amp; Waluyo </w:t>
      </w:r>
      <w:r w:rsidR="00DA3847">
        <w:rPr>
          <w:noProof/>
          <w:color w:val="000000" w:themeColor="text1"/>
        </w:rPr>
        <w:t>(</w:t>
      </w:r>
      <w:r w:rsidR="00DA3847" w:rsidRPr="00DA3847">
        <w:rPr>
          <w:noProof/>
          <w:color w:val="000000" w:themeColor="text1"/>
          <w:lang w:val="id-ID"/>
        </w:rPr>
        <w:t>2016)</w:t>
      </w:r>
      <w:r w:rsidR="00DA3847">
        <w:rPr>
          <w:color w:val="000000" w:themeColor="text1"/>
          <w:lang w:val="id-ID"/>
        </w:rPr>
        <w:fldChar w:fldCharType="end"/>
      </w:r>
      <w:r w:rsidR="00DA3847">
        <w:rPr>
          <w:color w:val="000000" w:themeColor="text1"/>
        </w:rPr>
        <w:t xml:space="preserve"> </w:t>
      </w:r>
      <w:r w:rsidRPr="00F86901">
        <w:rPr>
          <w:color w:val="000000" w:themeColor="text1"/>
          <w:lang w:val="id-ID"/>
        </w:rPr>
        <w:t>which states that the size of KAP has a sig</w:t>
      </w:r>
      <w:r w:rsidR="006516E4">
        <w:rPr>
          <w:color w:val="000000" w:themeColor="text1"/>
          <w:lang w:val="id-ID"/>
        </w:rPr>
        <w:t>nificant effect on audit delay.</w:t>
      </w:r>
    </w:p>
    <w:p w14:paraId="1571CCE4" w14:textId="1988985E" w:rsidR="006516E4"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The next factor is profitability, companies that experience losses tend to delay the issuance of annual financial reports to avoid stakeholder concerns. On the other hand, profitable companies tend to speed up the issuance of financial statements because this is seen as good news and will increase stakeholder confidence. Thus, it can be concluded that a high level of profitability will negatively affect audit delay. This is in accord</w:t>
      </w:r>
      <w:r w:rsidR="00DA3847">
        <w:rPr>
          <w:color w:val="000000" w:themeColor="text1"/>
          <w:lang w:val="id-ID"/>
        </w:rPr>
        <w:t xml:space="preserve">ance with research conducted by </w:t>
      </w:r>
      <w:r w:rsidR="00DA3847">
        <w:rPr>
          <w:color w:val="000000" w:themeColor="text1"/>
          <w:lang w:val="id-ID"/>
        </w:rPr>
        <w:fldChar w:fldCharType="begin" w:fldLock="1"/>
      </w:r>
      <w:r w:rsidR="00DA3847">
        <w:rPr>
          <w:color w:val="000000" w:themeColor="text1"/>
          <w:lang w:val="id-ID"/>
        </w:rPr>
        <w:instrText>ADDIN CSL_CITATION {"citationItems":[{"id":"ITEM-1","itemData":{"ISSN":"2502-5430","author":[{"dropping-particle":"","family":"Amani","given":"Fauziyah Althaf","non-dropping-particle":"","parse-names":false,"suffix":""},{"dropping-particle":"","family":"Waluyo","given":"Indarto","non-dropping-particle":"","parse-names":false,"suffix":""}],"container-title":"Nominal: Barometer Riset Akuntansi dan Manajemen","id":"ITEM-1","issue":"1","issued":{"date-parts":[["2016"]]},"page":"135-150","title":"Pengaruh Ukuran Perusahaan, Profitabilitas, Opini Audit, Dan Umur Perusahaan Terhadap Audit Delay (Studi Empiris pada Perusahaan Property dan Real Estate yang Terdaftar di Bursa Efek Indonesia pada Tahun 2012-2014)","type":"article-journal","volume":"5"},"uris":["http://www.mendeley.com/documents/?uuid=fcf537d3-c8c9-4a6a-98d3-346a9a412446"]}],"mendeley":{"formattedCitation":"(Amani &amp; Waluyo, 2016)","manualFormatting":"Amani &amp; Waluyo (2016)","plainTextFormattedCitation":"(Amani &amp; Waluyo, 2016)","previouslyFormattedCitation":"(Amani &amp; Waluyo, 2016)"},"properties":{"noteIndex":0},"schema":"https://github.com/citation-style-language/schema/raw/master/csl-citation.json"}</w:instrText>
      </w:r>
      <w:r w:rsidR="00DA3847">
        <w:rPr>
          <w:color w:val="000000" w:themeColor="text1"/>
          <w:lang w:val="id-ID"/>
        </w:rPr>
        <w:fldChar w:fldCharType="separate"/>
      </w:r>
      <w:r w:rsidR="00DA3847">
        <w:rPr>
          <w:noProof/>
          <w:color w:val="000000" w:themeColor="text1"/>
          <w:lang w:val="id-ID"/>
        </w:rPr>
        <w:t xml:space="preserve">Amani &amp; Waluyo </w:t>
      </w:r>
      <w:r w:rsidR="00DA3847">
        <w:rPr>
          <w:noProof/>
          <w:color w:val="000000" w:themeColor="text1"/>
        </w:rPr>
        <w:t>(</w:t>
      </w:r>
      <w:r w:rsidR="00DA3847" w:rsidRPr="00DA3847">
        <w:rPr>
          <w:noProof/>
          <w:color w:val="000000" w:themeColor="text1"/>
          <w:lang w:val="id-ID"/>
        </w:rPr>
        <w:t>2016)</w:t>
      </w:r>
      <w:r w:rsidR="00DA3847">
        <w:rPr>
          <w:color w:val="000000" w:themeColor="text1"/>
          <w:lang w:val="id-ID"/>
        </w:rPr>
        <w:fldChar w:fldCharType="end"/>
      </w:r>
      <w:r w:rsidR="00DA3847">
        <w:rPr>
          <w:color w:val="000000" w:themeColor="text1"/>
        </w:rPr>
        <w:t xml:space="preserve"> </w:t>
      </w:r>
      <w:r w:rsidRPr="00F86901">
        <w:rPr>
          <w:color w:val="000000" w:themeColor="text1"/>
          <w:lang w:val="id-ID"/>
        </w:rPr>
        <w:t xml:space="preserve">which shows that company profitability has an effect on audit delay. However, this is not in line with research conducted by </w:t>
      </w:r>
      <w:r w:rsidR="00DA3847">
        <w:rPr>
          <w:color w:val="000000" w:themeColor="text1"/>
          <w:lang w:val="id-ID"/>
        </w:rPr>
        <w:fldChar w:fldCharType="begin" w:fldLock="1"/>
      </w:r>
      <w:r w:rsidR="00DA3847">
        <w:rPr>
          <w:color w:val="000000" w:themeColor="text1"/>
          <w:lang w:val="id-ID"/>
        </w:rPr>
        <w:instrText>ADDIN CSL_CITATION {"citationItems":[{"id":"ITEM-1","itemData":{"ISSN":"2502-5430","author":[{"dropping-particle":"","family":"Apriyana","given":"Nurahman","non-dropping-particle":"","parse-names":false,"suffix":""},{"dropping-particle":"","family":"Rahmawati","given":"Diana","non-dropping-particle":"","parse-names":false,"suffix":""}],"container-title":"Nominal: Barometer Riset Akuntansi Dan Manajemen","id":"ITEM-1","issue":"2","issued":{"date-parts":[["2017"]]},"page":"108-124","title":"Pengaruh Profitabilitas, Solvabilitas, Ukuran Perusahaan, dan Ukuran Kap Terhadap Audit Delay Pada Perusahaan Properti dan Real Estate yang Terdaftar di Bursa Efek Indonesia Periode 2013-2015","type":"article-journal","volume":"6"},"uris":["http://www.mendeley.com/documents/?uuid=6849945b-1a34-43c6-9353-f7f74094b7c0"]}],"mendeley":{"formattedCitation":"(Apriyana &amp; Rahmawati, 2017)","manualFormatting":"Apriyana &amp; Rahmawati (2017)","plainTextFormattedCitation":"(Apriyana &amp; Rahmawati, 2017)","previouslyFormattedCitation":"(Apriyana &amp; Rahmawati, 2017)"},"properties":{"noteIndex":0},"schema":"https://github.com/citation-style-language/schema/raw/master/csl-citation.json"}</w:instrText>
      </w:r>
      <w:r w:rsidR="00DA3847">
        <w:rPr>
          <w:color w:val="000000" w:themeColor="text1"/>
          <w:lang w:val="id-ID"/>
        </w:rPr>
        <w:fldChar w:fldCharType="separate"/>
      </w:r>
      <w:r w:rsidR="00DA3847">
        <w:rPr>
          <w:noProof/>
          <w:color w:val="000000" w:themeColor="text1"/>
          <w:lang w:val="id-ID"/>
        </w:rPr>
        <w:t xml:space="preserve">Apriyana &amp; Rahmawati </w:t>
      </w:r>
      <w:r w:rsidR="00DA3847">
        <w:rPr>
          <w:noProof/>
          <w:color w:val="000000" w:themeColor="text1"/>
        </w:rPr>
        <w:t>(</w:t>
      </w:r>
      <w:r w:rsidR="00DA3847" w:rsidRPr="00DA3847">
        <w:rPr>
          <w:noProof/>
          <w:color w:val="000000" w:themeColor="text1"/>
          <w:lang w:val="id-ID"/>
        </w:rPr>
        <w:t>2017)</w:t>
      </w:r>
      <w:r w:rsidR="00DA3847">
        <w:rPr>
          <w:color w:val="000000" w:themeColor="text1"/>
          <w:lang w:val="id-ID"/>
        </w:rPr>
        <w:fldChar w:fldCharType="end"/>
      </w:r>
      <w:r w:rsidR="00DA3847">
        <w:rPr>
          <w:color w:val="000000" w:themeColor="text1"/>
        </w:rPr>
        <w:t xml:space="preserve"> </w:t>
      </w:r>
      <w:r w:rsidRPr="00F86901">
        <w:rPr>
          <w:color w:val="000000" w:themeColor="text1"/>
          <w:lang w:val="id-ID"/>
        </w:rPr>
        <w:t>which states that company profitability does not have a sig</w:t>
      </w:r>
      <w:r w:rsidR="006516E4">
        <w:rPr>
          <w:color w:val="000000" w:themeColor="text1"/>
          <w:lang w:val="id-ID"/>
        </w:rPr>
        <w:t>nificant effect on audit delay.</w:t>
      </w:r>
    </w:p>
    <w:p w14:paraId="6F3B08AD" w14:textId="3FAAC5C4" w:rsidR="00F86901"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Based on previous research, there is still a research gap that shows the diversity of research results on the factors that affect audit delay. On this basis, the authors re-examined the factors of company size, KAP size, and profitability on audit delay with LQ-45 companies listed on the Indonesia Stock Exchange for the 2016-2019 period as the object of research. IDX was chosen as the data source in this study on the basis of rationalization that IDX is the only representative stock market in Indonesia.</w:t>
      </w:r>
    </w:p>
    <w:p w14:paraId="481EC5B2" w14:textId="77777777" w:rsidR="00F86901" w:rsidRPr="00F32BEC" w:rsidRDefault="00F86901" w:rsidP="00F86901">
      <w:pPr>
        <w:pStyle w:val="BodyText"/>
        <w:spacing w:line="254" w:lineRule="auto"/>
        <w:ind w:right="38"/>
        <w:jc w:val="both"/>
        <w:rPr>
          <w:color w:val="000000" w:themeColor="text1"/>
          <w:lang w:val="id-ID"/>
        </w:rPr>
      </w:pPr>
    </w:p>
    <w:p w14:paraId="619D291E" w14:textId="77777777" w:rsidR="00C774F7" w:rsidRDefault="00C774F7" w:rsidP="00617008">
      <w:pPr>
        <w:pStyle w:val="BodyText"/>
        <w:spacing w:line="254" w:lineRule="auto"/>
        <w:ind w:right="38"/>
        <w:jc w:val="both"/>
        <w:rPr>
          <w:color w:val="000000" w:themeColor="text1"/>
          <w:lang w:val="id-ID"/>
        </w:rPr>
      </w:pPr>
    </w:p>
    <w:p w14:paraId="4A6EDC72" w14:textId="526AC27A" w:rsidR="00C774F7" w:rsidRPr="00301A45" w:rsidRDefault="00C774F7" w:rsidP="00C774F7">
      <w:pPr>
        <w:pStyle w:val="Heading1"/>
        <w:tabs>
          <w:tab w:val="left" w:pos="-7938"/>
        </w:tabs>
        <w:spacing w:before="1" w:line="288" w:lineRule="auto"/>
        <w:ind w:left="0" w:right="636" w:firstLine="0"/>
        <w:jc w:val="center"/>
        <w:rPr>
          <w:color w:val="000000" w:themeColor="text1"/>
        </w:rPr>
      </w:pPr>
      <w:r>
        <w:rPr>
          <w:color w:val="000000" w:themeColor="text1"/>
          <w:lang w:val="id-ID"/>
        </w:rPr>
        <w:t>2. LITERATURE REVIEW</w:t>
      </w:r>
    </w:p>
    <w:p w14:paraId="653F5A0F" w14:textId="77777777" w:rsidR="00C774F7" w:rsidRPr="00C774F7" w:rsidRDefault="00C774F7" w:rsidP="00617008">
      <w:pPr>
        <w:pStyle w:val="BodyText"/>
        <w:spacing w:line="254" w:lineRule="auto"/>
        <w:ind w:right="38"/>
        <w:jc w:val="both"/>
        <w:rPr>
          <w:color w:val="000000" w:themeColor="text1"/>
          <w:lang w:val="id-ID"/>
        </w:rPr>
      </w:pPr>
    </w:p>
    <w:p w14:paraId="4AC57C4F" w14:textId="4A3FFED1" w:rsidR="002B308C" w:rsidRPr="00F86901" w:rsidRDefault="00C774F7" w:rsidP="00AC419C">
      <w:pPr>
        <w:spacing w:line="256" w:lineRule="auto"/>
        <w:ind w:left="142"/>
        <w:jc w:val="both"/>
        <w:rPr>
          <w:b/>
          <w:color w:val="000000" w:themeColor="text1"/>
        </w:rPr>
      </w:pPr>
      <w:r w:rsidRPr="00EE783F">
        <w:rPr>
          <w:b/>
          <w:caps/>
          <w:color w:val="000000" w:themeColor="text1"/>
          <w:lang w:val="id-ID"/>
        </w:rPr>
        <w:t xml:space="preserve">A. </w:t>
      </w:r>
      <w:r w:rsidR="00F86901" w:rsidRPr="00F86901">
        <w:rPr>
          <w:b/>
          <w:color w:val="000000" w:themeColor="text1"/>
        </w:rPr>
        <w:t>Agency Theory</w:t>
      </w:r>
    </w:p>
    <w:p w14:paraId="7DC03400" w14:textId="3E1395DB" w:rsidR="00F86901" w:rsidRPr="002D4D11" w:rsidRDefault="00F86901" w:rsidP="006516E4">
      <w:pPr>
        <w:pStyle w:val="BodyText"/>
        <w:spacing w:line="254" w:lineRule="auto"/>
        <w:ind w:right="38" w:firstLine="453"/>
        <w:jc w:val="both"/>
        <w:rPr>
          <w:color w:val="000000" w:themeColor="text1"/>
          <w:lang w:val="id-ID"/>
        </w:rPr>
      </w:pPr>
      <w:r w:rsidRPr="00F86901">
        <w:rPr>
          <w:color w:val="000000" w:themeColor="text1"/>
          <w:lang w:val="id-ID"/>
        </w:rPr>
        <w:t>This th</w:t>
      </w:r>
      <w:r w:rsidR="00DA3847">
        <w:rPr>
          <w:color w:val="000000" w:themeColor="text1"/>
          <w:lang w:val="id-ID"/>
        </w:rPr>
        <w:t xml:space="preserve">eory was first coined by </w:t>
      </w:r>
      <w:r w:rsidR="00DA3847">
        <w:rPr>
          <w:color w:val="000000" w:themeColor="text1"/>
          <w:lang w:val="id-ID"/>
        </w:rPr>
        <w:fldChar w:fldCharType="begin" w:fldLock="1"/>
      </w:r>
      <w:r w:rsidR="00DA3847">
        <w:rPr>
          <w:color w:val="000000" w:themeColor="text1"/>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structure","type":"article-journal"},"uris":["http://www.mendeley.com/documents/?uuid=efdc2e3e-1eae-4fdf-b1d6-8333653bc344"]}],"mendeley":{"formattedCitation":"(Jensen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00DA3847">
        <w:rPr>
          <w:color w:val="000000" w:themeColor="text1"/>
          <w:lang w:val="id-ID"/>
        </w:rPr>
        <w:fldChar w:fldCharType="separate"/>
      </w:r>
      <w:r w:rsidR="00DA3847">
        <w:rPr>
          <w:noProof/>
          <w:color w:val="000000" w:themeColor="text1"/>
          <w:lang w:val="id-ID"/>
        </w:rPr>
        <w:t xml:space="preserve">Jensen &amp; Meckling </w:t>
      </w:r>
      <w:r w:rsidR="00DA3847">
        <w:rPr>
          <w:noProof/>
          <w:color w:val="000000" w:themeColor="text1"/>
        </w:rPr>
        <w:t>(</w:t>
      </w:r>
      <w:r w:rsidR="00DA3847" w:rsidRPr="00DA3847">
        <w:rPr>
          <w:noProof/>
          <w:color w:val="000000" w:themeColor="text1"/>
          <w:lang w:val="id-ID"/>
        </w:rPr>
        <w:t>1976)</w:t>
      </w:r>
      <w:r w:rsidR="00DA3847">
        <w:rPr>
          <w:color w:val="000000" w:themeColor="text1"/>
          <w:lang w:val="id-ID"/>
        </w:rPr>
        <w:fldChar w:fldCharType="end"/>
      </w:r>
      <w:r w:rsidR="00DA3847">
        <w:rPr>
          <w:color w:val="000000" w:themeColor="text1"/>
        </w:rPr>
        <w:t xml:space="preserve"> </w:t>
      </w:r>
      <w:r w:rsidRPr="00F86901">
        <w:rPr>
          <w:color w:val="000000" w:themeColor="text1"/>
          <w:lang w:val="id-ID"/>
        </w:rPr>
        <w:t>who stated the relationship between shareholders (stakeholders) as principals and management as agents. Management is a party contracted by shareholders to work in the interests of shareholders. Because they are elected, the management must be accountable for all their work to the shareholders. According to</w:t>
      </w:r>
      <w:r w:rsidR="00DA3847">
        <w:rPr>
          <w:color w:val="000000" w:themeColor="text1"/>
        </w:rPr>
        <w:t xml:space="preserve"> </w:t>
      </w:r>
      <w:r w:rsidR="00DA3847">
        <w:rPr>
          <w:color w:val="000000" w:themeColor="text1"/>
        </w:rPr>
        <w:fldChar w:fldCharType="begin" w:fldLock="1"/>
      </w:r>
      <w:r w:rsidR="00DA3847">
        <w:rPr>
          <w:color w:val="000000" w:themeColor="text1"/>
        </w:rPr>
        <w:instrText>ADDIN CSL_CITATION {"citationItems":[{"id":"ITEM-1","itemData":{"ISSN":"2302-8203","author":[{"dropping-particle":"","family":"Liviani","given":"Shiela","non-dropping-particle":"","parse-names":false,"suffix":""}],"container-title":"CALYPTRA","id":"ITEM-1","issue":"2","issued":{"date-parts":[["2016"]]},"page":"1-18","title":"Uji model keseimbangan teori keagenan: pengaruh kebijakan utang dan kebijakan dividen terhadap kepemilikan manajerial","type":"article-journal","volume":"4"},"uris":["http://www.mendeley.com/documents/?uuid=ae75fafe-2636-4a6b-9923-d2d9ce732209"]}],"mendeley":{"formattedCitation":"(Liviani, 2016)","manualFormatting":"Liviani (2016)","plainTextFormattedCitation":"(Liviani, 2016)","previouslyFormattedCitation":"(Liviani, 2016)"},"properties":{"noteIndex":0},"schema":"https://github.com/citation-style-language/schema/raw/master/csl-citation.json"}</w:instrText>
      </w:r>
      <w:r w:rsidR="00DA3847">
        <w:rPr>
          <w:color w:val="000000" w:themeColor="text1"/>
        </w:rPr>
        <w:fldChar w:fldCharType="separate"/>
      </w:r>
      <w:r w:rsidR="00DA3847">
        <w:rPr>
          <w:noProof/>
          <w:color w:val="000000" w:themeColor="text1"/>
        </w:rPr>
        <w:t>Liviani (</w:t>
      </w:r>
      <w:r w:rsidR="00DA3847" w:rsidRPr="00DA3847">
        <w:rPr>
          <w:noProof/>
          <w:color w:val="000000" w:themeColor="text1"/>
        </w:rPr>
        <w:t>2016)</w:t>
      </w:r>
      <w:r w:rsidR="00DA3847">
        <w:rPr>
          <w:color w:val="000000" w:themeColor="text1"/>
        </w:rPr>
        <w:fldChar w:fldCharType="end"/>
      </w:r>
      <w:r w:rsidRPr="00F86901">
        <w:rPr>
          <w:color w:val="000000" w:themeColor="text1"/>
          <w:lang w:val="id-ID"/>
        </w:rPr>
        <w:t xml:space="preserve"> the agency relationship which is one of the oldest and most common forms of social interaction arises when there is a separation of the management function and the ownership function, where one party (agent) acts as a representative of another party (principal) in decision making. The separation of management and ownership functions will cause agency problems due to differences in interests.</w:t>
      </w:r>
    </w:p>
    <w:p w14:paraId="07D652FD" w14:textId="77777777" w:rsidR="0090538D" w:rsidRDefault="0090538D" w:rsidP="0090538D">
      <w:pPr>
        <w:pStyle w:val="BodyText"/>
        <w:spacing w:line="254" w:lineRule="auto"/>
        <w:ind w:right="38"/>
        <w:jc w:val="both"/>
        <w:rPr>
          <w:color w:val="000000" w:themeColor="text1"/>
          <w:lang w:val="id-ID"/>
        </w:rPr>
      </w:pPr>
    </w:p>
    <w:p w14:paraId="08E603C1" w14:textId="383F6AD0" w:rsidR="00083150" w:rsidRPr="00F86901" w:rsidRDefault="00F86901" w:rsidP="0090538D">
      <w:pPr>
        <w:pStyle w:val="BodyText"/>
        <w:spacing w:line="254" w:lineRule="auto"/>
        <w:ind w:right="38"/>
        <w:jc w:val="both"/>
        <w:rPr>
          <w:b/>
          <w:color w:val="000000" w:themeColor="text1"/>
          <w:sz w:val="22"/>
          <w:szCs w:val="22"/>
        </w:rPr>
      </w:pPr>
      <w:r>
        <w:rPr>
          <w:b/>
          <w:color w:val="000000" w:themeColor="text1"/>
          <w:sz w:val="22"/>
          <w:szCs w:val="22"/>
          <w:lang w:val="id-ID"/>
        </w:rPr>
        <w:t xml:space="preserve">B. </w:t>
      </w:r>
      <w:r>
        <w:rPr>
          <w:b/>
          <w:color w:val="000000" w:themeColor="text1"/>
          <w:sz w:val="22"/>
          <w:szCs w:val="22"/>
        </w:rPr>
        <w:t>Audit</w:t>
      </w:r>
    </w:p>
    <w:p w14:paraId="5EC03462" w14:textId="17BCDABC" w:rsidR="006516E4" w:rsidRPr="00623C42" w:rsidRDefault="00DA3847" w:rsidP="006516E4">
      <w:pPr>
        <w:pStyle w:val="BodyText"/>
        <w:spacing w:line="254" w:lineRule="auto"/>
        <w:ind w:right="38" w:firstLine="453"/>
        <w:jc w:val="both"/>
        <w:rPr>
          <w:color w:val="000000" w:themeColor="text1"/>
        </w:rPr>
      </w:pPr>
      <w:r>
        <w:rPr>
          <w:color w:val="000000" w:themeColor="text1"/>
          <w:lang w:val="id-ID"/>
        </w:rPr>
        <w:fldChar w:fldCharType="begin" w:fldLock="1"/>
      </w:r>
      <w:r>
        <w:rPr>
          <w:color w:val="000000" w:themeColor="text1"/>
          <w:lang w:val="id-ID"/>
        </w:rPr>
        <w:instrText>ADDIN CSL_CITATION {"citationItems":[{"id":"ITEM-1","itemData":{"author":[{"dropping-particle":"","family":"Agoes","given":"Sukrisno","non-dropping-particle":"","parse-names":false,"suffix":""}],"id":"ITEM-1","issued":{"date-parts":[["2012"]]},"publisher":"Jakarta: Salemba Empat","publisher-place":"Jakarta","title":"Auditing: Petunjuk praktis pemeriksaan akuntan oleh akuntan publik","type":"article"},"uris":["http://www.mendeley.com/documents/?uuid=e9cd577a-8f77-4c3d-a968-3026a4dc30fc"]}],"mendeley":{"formattedCitation":"(Agoes, 2012)","manualFormatting":"Agoes (2012)","plainTextFormattedCitation":"(Agoes, 2012)","previouslyFormattedCitation":"(Agoes, 2012)"},"properties":{"noteIndex":0},"schema":"https://github.com/citation-style-language/schema/raw/master/csl-citation.json"}</w:instrText>
      </w:r>
      <w:r>
        <w:rPr>
          <w:color w:val="000000" w:themeColor="text1"/>
          <w:lang w:val="id-ID"/>
        </w:rPr>
        <w:fldChar w:fldCharType="separate"/>
      </w:r>
      <w:r>
        <w:rPr>
          <w:noProof/>
          <w:color w:val="000000" w:themeColor="text1"/>
          <w:lang w:val="id-ID"/>
        </w:rPr>
        <w:t xml:space="preserve">Agoes </w:t>
      </w:r>
      <w:r>
        <w:rPr>
          <w:noProof/>
          <w:color w:val="000000" w:themeColor="text1"/>
        </w:rPr>
        <w:t>(</w:t>
      </w:r>
      <w:r w:rsidRPr="00DA3847">
        <w:rPr>
          <w:noProof/>
          <w:color w:val="000000" w:themeColor="text1"/>
          <w:lang w:val="id-ID"/>
        </w:rPr>
        <w:t>2012)</w:t>
      </w:r>
      <w:r>
        <w:rPr>
          <w:color w:val="000000" w:themeColor="text1"/>
          <w:lang w:val="id-ID"/>
        </w:rPr>
        <w:fldChar w:fldCharType="end"/>
      </w:r>
      <w:r>
        <w:rPr>
          <w:color w:val="000000" w:themeColor="text1"/>
        </w:rPr>
        <w:t xml:space="preserve"> </w:t>
      </w:r>
      <w:r w:rsidR="006516E4" w:rsidRPr="006516E4">
        <w:rPr>
          <w:color w:val="000000" w:themeColor="text1"/>
          <w:lang w:val="id-ID"/>
        </w:rPr>
        <w:t xml:space="preserve">defines audit as an examination carried out critically and systematically, by an independent party, on the financial statements that have been prepared by management, along with accounting records and supporting evidence, with the aim of being able to provide an opinion regarding the fairness of the report. the finances. Audit is a systematic process that aims to obtain and evaluate evidence collected on statements or assertions about economic actions, events and see the level of relationship between statements or assertions and reality, and communicate the results to interested parties. In practice, the Financial Statements must go through an audit process before they are finally published. In general, financial statements need to be audited so that the financial information presented in the financial statements is </w:t>
      </w:r>
      <w:r>
        <w:rPr>
          <w:color w:val="000000" w:themeColor="text1"/>
          <w:lang w:val="id-ID"/>
        </w:rPr>
        <w:t>fair to all interested parties</w:t>
      </w:r>
      <w:r w:rsidR="00623C42">
        <w:rPr>
          <w:color w:val="000000" w:themeColor="text1"/>
        </w:rPr>
        <w:t xml:space="preserve"> </w:t>
      </w:r>
      <w:r w:rsidR="00623C42">
        <w:rPr>
          <w:color w:val="000000" w:themeColor="text1"/>
        </w:rPr>
        <w:fldChar w:fldCharType="begin" w:fldLock="1"/>
      </w:r>
      <w:r w:rsidR="00623C42">
        <w:rPr>
          <w:color w:val="000000" w:themeColor="text1"/>
        </w:rPr>
        <w:instrText>ADDIN CSL_CITATION {"citationItems":[{"id":"ITEM-1","itemData":{"author":[{"dropping-particle":"","family":"Ikatan Akuntan Indonesia","given":"","non-dropping-particle":"","parse-names":false,"suffix":""}],"id":"ITEM-1","issued":{"date-parts":[["2009"]]},"publisher":"Salemba Empat","publisher-place":"Jakarta","title":"Standar Akuntansi Keuangan","type":"chapter"},"uris":["http://www.mendeley.com/documents/?uuid=674ad60b-613e-4788-b5fa-29bcaef255c1"]}],"mendeley":{"formattedCitation":"(Ikatan Akuntan Indonesia, 2009)","plainTextFormattedCitation":"(Ikatan Akuntan Indonesia, 2009)","previouslyFormattedCitation":"(Ikatan Akuntan Indonesia, 2009)"},"properties":{"noteIndex":0},"schema":"https://github.com/citation-style-language/schema/raw/master/csl-citation.json"}</w:instrText>
      </w:r>
      <w:r w:rsidR="00623C42">
        <w:rPr>
          <w:color w:val="000000" w:themeColor="text1"/>
        </w:rPr>
        <w:fldChar w:fldCharType="separate"/>
      </w:r>
      <w:r w:rsidR="00623C42" w:rsidRPr="00623C42">
        <w:rPr>
          <w:noProof/>
          <w:color w:val="000000" w:themeColor="text1"/>
        </w:rPr>
        <w:t>(Ikatan Akuntan Indonesia, 2009)</w:t>
      </w:r>
      <w:r w:rsidR="00623C42">
        <w:rPr>
          <w:color w:val="000000" w:themeColor="text1"/>
        </w:rPr>
        <w:fldChar w:fldCharType="end"/>
      </w:r>
    </w:p>
    <w:p w14:paraId="69A19E8A" w14:textId="77777777" w:rsidR="00A57E55" w:rsidRDefault="00A57E55" w:rsidP="007257E2">
      <w:pPr>
        <w:pStyle w:val="BodyText"/>
        <w:spacing w:line="254" w:lineRule="auto"/>
        <w:ind w:right="38"/>
        <w:jc w:val="both"/>
        <w:rPr>
          <w:color w:val="000000" w:themeColor="text1"/>
          <w:lang w:val="id-ID"/>
        </w:rPr>
      </w:pPr>
    </w:p>
    <w:p w14:paraId="3FCACD0D" w14:textId="00E3B4EE" w:rsidR="00AC419C" w:rsidRPr="006516E4" w:rsidRDefault="006516E4" w:rsidP="00AC419C">
      <w:pPr>
        <w:pStyle w:val="BodyText"/>
        <w:spacing w:line="254" w:lineRule="auto"/>
        <w:ind w:left="142" w:right="38"/>
        <w:jc w:val="both"/>
        <w:rPr>
          <w:b/>
          <w:color w:val="000000" w:themeColor="text1"/>
          <w:sz w:val="22"/>
          <w:szCs w:val="22"/>
        </w:rPr>
      </w:pPr>
      <w:r>
        <w:rPr>
          <w:b/>
          <w:color w:val="000000" w:themeColor="text1"/>
          <w:sz w:val="22"/>
          <w:szCs w:val="22"/>
          <w:lang w:val="id-ID"/>
        </w:rPr>
        <w:t xml:space="preserve">C. </w:t>
      </w:r>
      <w:r w:rsidRPr="006516E4">
        <w:rPr>
          <w:b/>
          <w:color w:val="000000" w:themeColor="text1"/>
          <w:sz w:val="22"/>
          <w:szCs w:val="22"/>
        </w:rPr>
        <w:t>Audit Type</w:t>
      </w:r>
    </w:p>
    <w:p w14:paraId="5D2A0D1D" w14:textId="17470817" w:rsidR="006516E4" w:rsidRPr="006516E4" w:rsidRDefault="00623C42" w:rsidP="006516E4">
      <w:pPr>
        <w:pStyle w:val="BodyText"/>
        <w:spacing w:line="254" w:lineRule="auto"/>
        <w:ind w:right="38" w:firstLine="453"/>
        <w:jc w:val="both"/>
        <w:rPr>
          <w:color w:val="000000" w:themeColor="text1"/>
          <w:lang w:val="id-ID"/>
        </w:rPr>
      </w:pPr>
      <w:r>
        <w:rPr>
          <w:color w:val="000000" w:themeColor="text1"/>
          <w:lang w:val="id-ID"/>
        </w:rPr>
        <w:fldChar w:fldCharType="begin" w:fldLock="1"/>
      </w:r>
      <w:r>
        <w:rPr>
          <w:color w:val="000000" w:themeColor="text1"/>
          <w:lang w:val="id-ID"/>
        </w:rPr>
        <w:instrText>ADDIN CSL_CITATION {"citationItems":[{"id":"ITEM-1","itemData":{"author":[{"dropping-particle":"","family":"Agoes","given":"Sukrisno","non-dropping-particle":"","parse-names":false,"suffix":""}],"id":"ITEM-1","issued":{"date-parts":[["2012"]]},"publisher":"Jakarta: Salemba Empat","publisher-place":"Jakarta","title":"Auditing: Petunjuk praktis pemeriksaan akuntan oleh akuntan publik","type":"article"},"uris":["http://www.mendeley.com/documents/?uuid=e9cd577a-8f77-4c3d-a968-3026a4dc30fc"]}],"mendeley":{"formattedCitation":"(Agoes, 2012)","manualFormatting":"Agoes (2012)","plainTextFormattedCitation":"(Agoes, 2012)","previouslyFormattedCitation":"(Agoes, 2012)"},"properties":{"noteIndex":0},"schema":"https://github.com/citation-style-language/schema/raw/master/csl-citation.json"}</w:instrText>
      </w:r>
      <w:r>
        <w:rPr>
          <w:color w:val="000000" w:themeColor="text1"/>
          <w:lang w:val="id-ID"/>
        </w:rPr>
        <w:fldChar w:fldCharType="separate"/>
      </w:r>
      <w:r>
        <w:rPr>
          <w:noProof/>
          <w:color w:val="000000" w:themeColor="text1"/>
          <w:lang w:val="id-ID"/>
        </w:rPr>
        <w:t xml:space="preserve">Agoes </w:t>
      </w:r>
      <w:r>
        <w:rPr>
          <w:noProof/>
          <w:color w:val="000000" w:themeColor="text1"/>
        </w:rPr>
        <w:t>(</w:t>
      </w:r>
      <w:r w:rsidRPr="00DA3847">
        <w:rPr>
          <w:noProof/>
          <w:color w:val="000000" w:themeColor="text1"/>
          <w:lang w:val="id-ID"/>
        </w:rPr>
        <w:t>2012)</w:t>
      </w:r>
      <w:r>
        <w:rPr>
          <w:color w:val="000000" w:themeColor="text1"/>
          <w:lang w:val="id-ID"/>
        </w:rPr>
        <w:fldChar w:fldCharType="end"/>
      </w:r>
      <w:r>
        <w:rPr>
          <w:color w:val="000000" w:themeColor="text1"/>
        </w:rPr>
        <w:t xml:space="preserve"> </w:t>
      </w:r>
      <w:r w:rsidRPr="006516E4">
        <w:rPr>
          <w:color w:val="000000" w:themeColor="text1"/>
          <w:lang w:val="id-ID"/>
        </w:rPr>
        <w:t xml:space="preserve">defines </w:t>
      </w:r>
      <w:r w:rsidR="006516E4" w:rsidRPr="006516E4">
        <w:rPr>
          <w:color w:val="000000" w:themeColor="text1"/>
          <w:lang w:val="id-ID"/>
        </w:rPr>
        <w:t>the types of audits in terms of the extent of the examination, audits are divided into:</w:t>
      </w:r>
    </w:p>
    <w:p w14:paraId="02A5F309" w14:textId="77777777" w:rsidR="006516E4" w:rsidRDefault="006516E4" w:rsidP="00E512A2">
      <w:pPr>
        <w:pStyle w:val="BodyText"/>
        <w:numPr>
          <w:ilvl w:val="0"/>
          <w:numId w:val="3"/>
        </w:numPr>
        <w:spacing w:line="254" w:lineRule="auto"/>
        <w:ind w:left="426" w:right="38" w:hanging="284"/>
        <w:jc w:val="both"/>
        <w:rPr>
          <w:color w:val="000000" w:themeColor="text1"/>
          <w:lang w:val="id-ID"/>
        </w:rPr>
      </w:pPr>
      <w:r w:rsidRPr="006516E4">
        <w:rPr>
          <w:color w:val="000000" w:themeColor="text1"/>
          <w:lang w:val="id-ID"/>
        </w:rPr>
        <w:t>General Audit (General Audit)</w:t>
      </w:r>
    </w:p>
    <w:p w14:paraId="572007BA" w14:textId="77777777" w:rsidR="006516E4" w:rsidRDefault="006516E4" w:rsidP="006516E4">
      <w:pPr>
        <w:pStyle w:val="BodyText"/>
        <w:spacing w:line="254" w:lineRule="auto"/>
        <w:ind w:left="426" w:right="38"/>
        <w:jc w:val="both"/>
        <w:rPr>
          <w:color w:val="000000" w:themeColor="text1"/>
          <w:lang w:val="id-ID"/>
        </w:rPr>
      </w:pPr>
      <w:r w:rsidRPr="006516E4">
        <w:rPr>
          <w:color w:val="000000" w:themeColor="text1"/>
          <w:lang w:val="id-ID"/>
        </w:rPr>
        <w:t>A general examination of the financial statements conducted by an independent KAP with the aim of being able to provide an opinion on the fairness of the financial statements as a whole. The audit must be carried out in accordance with the Professional Standards of Public Accountants or ISA or the Small Business Entity Audit Guidelines and take into account the Indonesian Accountant Code of Ethics, the Professional Public Accountant Code of Ethics and Quality Control Standards.</w:t>
      </w:r>
    </w:p>
    <w:p w14:paraId="0FA52380" w14:textId="77777777" w:rsidR="006516E4" w:rsidRDefault="006516E4" w:rsidP="00E512A2">
      <w:pPr>
        <w:pStyle w:val="BodyText"/>
        <w:numPr>
          <w:ilvl w:val="0"/>
          <w:numId w:val="3"/>
        </w:numPr>
        <w:spacing w:line="254" w:lineRule="auto"/>
        <w:ind w:left="426" w:right="38" w:hanging="284"/>
        <w:jc w:val="both"/>
        <w:rPr>
          <w:color w:val="000000" w:themeColor="text1"/>
          <w:lang w:val="id-ID"/>
        </w:rPr>
      </w:pPr>
      <w:r w:rsidRPr="006516E4">
        <w:rPr>
          <w:color w:val="000000" w:themeColor="text1"/>
          <w:lang w:val="id-ID"/>
        </w:rPr>
        <w:t>Special Audit (Special Audit)</w:t>
      </w:r>
    </w:p>
    <w:p w14:paraId="142196E9" w14:textId="1C053A95" w:rsidR="006516E4" w:rsidRPr="006516E4" w:rsidRDefault="006516E4" w:rsidP="006516E4">
      <w:pPr>
        <w:pStyle w:val="BodyText"/>
        <w:spacing w:line="254" w:lineRule="auto"/>
        <w:ind w:left="426" w:right="38"/>
        <w:jc w:val="both"/>
        <w:rPr>
          <w:color w:val="000000" w:themeColor="text1"/>
          <w:lang w:val="id-ID"/>
        </w:rPr>
      </w:pPr>
      <w:r w:rsidRPr="006516E4">
        <w:rPr>
          <w:color w:val="000000" w:themeColor="text1"/>
          <w:lang w:val="id-ID"/>
        </w:rPr>
        <w:t xml:space="preserve">A limited audit (according to the request of the auditee) conducted by an independent KAP, and at the end of the audit the auditor does not need to give an opinion on the fairness of the financial statements as a whole. The opinions given are limited to certain items or issues being examined, because the audit procedures carried out are also limited. For example, KAP is asked to check whether there is fraud in the collection of accounts receivable in the company. In this </w:t>
      </w:r>
      <w:r w:rsidRPr="006516E4">
        <w:rPr>
          <w:color w:val="000000" w:themeColor="text1"/>
          <w:lang w:val="id-ID"/>
        </w:rPr>
        <w:lastRenderedPageBreak/>
        <w:t>case, audit procedures are limited to examining accounts receivable, sales, and cash receipts. At the end of the audit, the KAP only provides an opinion on whether or not there is fraud in the collection of accounts receivable in the company. If there is fraud, how big is the amount and what is the mode of operation.</w:t>
      </w:r>
    </w:p>
    <w:p w14:paraId="67A73080" w14:textId="324DA0DD" w:rsidR="006516E4" w:rsidRPr="006516E4" w:rsidRDefault="006516E4" w:rsidP="006516E4">
      <w:pPr>
        <w:pStyle w:val="BodyText"/>
        <w:spacing w:line="254" w:lineRule="auto"/>
        <w:ind w:left="142" w:right="38" w:firstLine="425"/>
        <w:jc w:val="both"/>
        <w:rPr>
          <w:color w:val="000000" w:themeColor="text1"/>
          <w:lang w:val="id-ID"/>
        </w:rPr>
      </w:pPr>
      <w:r w:rsidRPr="006516E4">
        <w:rPr>
          <w:color w:val="000000" w:themeColor="text1"/>
          <w:lang w:val="id-ID"/>
        </w:rPr>
        <w:t>Judging from the type</w:t>
      </w:r>
      <w:r w:rsidR="00623C42">
        <w:rPr>
          <w:color w:val="000000" w:themeColor="text1"/>
          <w:lang w:val="id-ID"/>
        </w:rPr>
        <w:t xml:space="preserve"> of examination (Soekrisno, 2012</w:t>
      </w:r>
      <w:r w:rsidRPr="006516E4">
        <w:rPr>
          <w:color w:val="000000" w:themeColor="text1"/>
          <w:lang w:val="id-ID"/>
        </w:rPr>
        <w:t>), audits can be divided into:</w:t>
      </w:r>
    </w:p>
    <w:p w14:paraId="18650DEE" w14:textId="77777777" w:rsidR="006516E4" w:rsidRDefault="006516E4" w:rsidP="00E512A2">
      <w:pPr>
        <w:pStyle w:val="BodyText"/>
        <w:numPr>
          <w:ilvl w:val="0"/>
          <w:numId w:val="4"/>
        </w:numPr>
        <w:spacing w:line="254" w:lineRule="auto"/>
        <w:ind w:left="426" w:right="38" w:hanging="284"/>
        <w:jc w:val="both"/>
        <w:rPr>
          <w:color w:val="000000" w:themeColor="text1"/>
          <w:lang w:val="id-ID"/>
        </w:rPr>
      </w:pPr>
      <w:r w:rsidRPr="006516E4">
        <w:rPr>
          <w:color w:val="000000" w:themeColor="text1"/>
          <w:lang w:val="id-ID"/>
        </w:rPr>
        <w:t>Management Audit (Operational Audit)</w:t>
      </w:r>
    </w:p>
    <w:p w14:paraId="7C0100A2" w14:textId="77777777" w:rsidR="006516E4" w:rsidRDefault="006516E4" w:rsidP="006516E4">
      <w:pPr>
        <w:pStyle w:val="BodyText"/>
        <w:spacing w:line="254" w:lineRule="auto"/>
        <w:ind w:left="426" w:right="38"/>
        <w:jc w:val="both"/>
        <w:rPr>
          <w:color w:val="000000" w:themeColor="text1"/>
          <w:lang w:val="id-ID"/>
        </w:rPr>
      </w:pPr>
      <w:r w:rsidRPr="006516E4">
        <w:rPr>
          <w:color w:val="000000" w:themeColor="text1"/>
          <w:lang w:val="id-ID"/>
        </w:rPr>
        <w:t>An examination of the operating activities of a company, including accounting policies and operational policies that have been determined by management, to determine whether the operating activities have been carried out effectively, efficiently, and economically.</w:t>
      </w:r>
    </w:p>
    <w:p w14:paraId="451C3D12" w14:textId="77777777" w:rsidR="006516E4" w:rsidRDefault="006516E4" w:rsidP="00E512A2">
      <w:pPr>
        <w:pStyle w:val="BodyText"/>
        <w:numPr>
          <w:ilvl w:val="0"/>
          <w:numId w:val="4"/>
        </w:numPr>
        <w:spacing w:line="254" w:lineRule="auto"/>
        <w:ind w:left="426" w:right="38" w:hanging="284"/>
        <w:jc w:val="both"/>
        <w:rPr>
          <w:color w:val="000000" w:themeColor="text1"/>
          <w:lang w:val="id-ID"/>
        </w:rPr>
      </w:pPr>
      <w:r w:rsidRPr="006516E4">
        <w:rPr>
          <w:color w:val="000000" w:themeColor="text1"/>
          <w:lang w:val="id-ID"/>
        </w:rPr>
        <w:t>Compliance Audit</w:t>
      </w:r>
    </w:p>
    <w:p w14:paraId="38214CE0" w14:textId="77777777" w:rsidR="006516E4" w:rsidRDefault="006516E4" w:rsidP="006516E4">
      <w:pPr>
        <w:pStyle w:val="BodyText"/>
        <w:spacing w:line="254" w:lineRule="auto"/>
        <w:ind w:left="426" w:right="38"/>
        <w:jc w:val="both"/>
        <w:rPr>
          <w:color w:val="000000" w:themeColor="text1"/>
          <w:lang w:val="id-ID"/>
        </w:rPr>
      </w:pPr>
      <w:r w:rsidRPr="006516E4">
        <w:rPr>
          <w:color w:val="000000" w:themeColor="text1"/>
          <w:lang w:val="id-ID"/>
        </w:rPr>
        <w:t>An examination conducted to determine whether the company has complied with the applicable regulations and policies, both those set by the company's internal parties (management, board of commissioners) and external parties (Government, BApepam LK, Bank Indonesia, Directorate General of Taxes, and others -other). The examination can be carried out by either the KAP or the Internal Audit Division.</w:t>
      </w:r>
    </w:p>
    <w:p w14:paraId="096F5013" w14:textId="77777777" w:rsidR="006516E4" w:rsidRDefault="006516E4" w:rsidP="00E512A2">
      <w:pPr>
        <w:pStyle w:val="BodyText"/>
        <w:numPr>
          <w:ilvl w:val="0"/>
          <w:numId w:val="4"/>
        </w:numPr>
        <w:spacing w:line="254" w:lineRule="auto"/>
        <w:ind w:left="426" w:right="38" w:hanging="284"/>
        <w:jc w:val="both"/>
        <w:rPr>
          <w:color w:val="000000" w:themeColor="text1"/>
          <w:lang w:val="id-ID"/>
        </w:rPr>
      </w:pPr>
      <w:r w:rsidRPr="006516E4">
        <w:rPr>
          <w:color w:val="000000" w:themeColor="text1"/>
          <w:lang w:val="id-ID"/>
        </w:rPr>
        <w:t>Internal Audit (Internal Audit)</w:t>
      </w:r>
    </w:p>
    <w:p w14:paraId="117D82B1" w14:textId="77777777" w:rsidR="006516E4" w:rsidRDefault="006516E4" w:rsidP="006516E4">
      <w:pPr>
        <w:pStyle w:val="BodyText"/>
        <w:spacing w:line="254" w:lineRule="auto"/>
        <w:ind w:left="426" w:right="38"/>
        <w:jc w:val="both"/>
        <w:rPr>
          <w:color w:val="000000" w:themeColor="text1"/>
          <w:lang w:val="id-ID"/>
        </w:rPr>
      </w:pPr>
      <w:r w:rsidRPr="006516E4">
        <w:rPr>
          <w:color w:val="000000" w:themeColor="text1"/>
          <w:lang w:val="id-ID"/>
        </w:rPr>
        <w:t>Examinations carried out by the internal audit department both on the company's financial statements and accounting records, as well as compliance with predetermined management policies.</w:t>
      </w:r>
      <w:r>
        <w:rPr>
          <w:color w:val="000000" w:themeColor="text1"/>
        </w:rPr>
        <w:t xml:space="preserve"> </w:t>
      </w:r>
      <w:r w:rsidRPr="006516E4">
        <w:rPr>
          <w:color w:val="000000" w:themeColor="text1"/>
          <w:lang w:val="id-ID"/>
        </w:rPr>
        <w:t>Examinations conducted by internal auditors are usually more detailed than general audits carried out by KAP. Internal auditors usually do not give an opinion on the fairness of financial statements, because parties outside the company consider that the internal auditor who is an insider is not independent.</w:t>
      </w:r>
    </w:p>
    <w:p w14:paraId="11ABBC12" w14:textId="77777777" w:rsidR="006516E4" w:rsidRDefault="006516E4" w:rsidP="00E512A2">
      <w:pPr>
        <w:pStyle w:val="BodyText"/>
        <w:numPr>
          <w:ilvl w:val="0"/>
          <w:numId w:val="4"/>
        </w:numPr>
        <w:spacing w:line="254" w:lineRule="auto"/>
        <w:ind w:left="426" w:right="38" w:hanging="284"/>
        <w:jc w:val="both"/>
        <w:rPr>
          <w:color w:val="000000" w:themeColor="text1"/>
          <w:lang w:val="id-ID"/>
        </w:rPr>
      </w:pPr>
      <w:r w:rsidRPr="006516E4">
        <w:rPr>
          <w:color w:val="000000" w:themeColor="text1"/>
          <w:lang w:val="id-ID"/>
        </w:rPr>
        <w:t>Computer Audit</w:t>
      </w:r>
    </w:p>
    <w:p w14:paraId="0EF8B590" w14:textId="6A030A36" w:rsidR="006516E4" w:rsidRPr="006516E4" w:rsidRDefault="006516E4" w:rsidP="006516E4">
      <w:pPr>
        <w:pStyle w:val="BodyText"/>
        <w:spacing w:line="254" w:lineRule="auto"/>
        <w:ind w:left="426" w:right="38"/>
        <w:jc w:val="both"/>
        <w:rPr>
          <w:color w:val="000000" w:themeColor="text1"/>
          <w:lang w:val="id-ID"/>
        </w:rPr>
      </w:pPr>
      <w:r w:rsidRPr="006516E4">
        <w:rPr>
          <w:color w:val="000000" w:themeColor="text1"/>
          <w:lang w:val="id-ID"/>
        </w:rPr>
        <w:t>Examination by KAP of companies that process their accounting data using the Electronic Data Processing (EDP) System. There are 2 (two) methods that can be used by the auditor:</w:t>
      </w:r>
    </w:p>
    <w:p w14:paraId="3490A605" w14:textId="77777777" w:rsidR="006516E4" w:rsidRDefault="006516E4" w:rsidP="00E512A2">
      <w:pPr>
        <w:pStyle w:val="BodyText"/>
        <w:numPr>
          <w:ilvl w:val="1"/>
          <w:numId w:val="5"/>
        </w:numPr>
        <w:spacing w:line="254" w:lineRule="auto"/>
        <w:ind w:left="851" w:right="38" w:hanging="425"/>
        <w:jc w:val="both"/>
        <w:rPr>
          <w:color w:val="000000" w:themeColor="text1"/>
          <w:lang w:val="id-ID"/>
        </w:rPr>
      </w:pPr>
      <w:r w:rsidRPr="006516E4">
        <w:rPr>
          <w:color w:val="000000" w:themeColor="text1"/>
          <w:lang w:val="id-ID"/>
        </w:rPr>
        <w:t>Audit Around The Computer</w:t>
      </w:r>
    </w:p>
    <w:p w14:paraId="739E06E1" w14:textId="77777777" w:rsidR="006516E4" w:rsidRDefault="006516E4" w:rsidP="006516E4">
      <w:pPr>
        <w:pStyle w:val="BodyText"/>
        <w:spacing w:line="254" w:lineRule="auto"/>
        <w:ind w:left="851" w:right="38"/>
        <w:jc w:val="both"/>
        <w:rPr>
          <w:color w:val="000000" w:themeColor="text1"/>
          <w:lang w:val="id-ID"/>
        </w:rPr>
      </w:pPr>
      <w:r w:rsidRPr="006516E4">
        <w:rPr>
          <w:color w:val="000000" w:themeColor="text1"/>
          <w:lang w:val="id-ID"/>
        </w:rPr>
        <w:t>In this case, the auditor only checks the inputs and outputs of the EDP system without testing the processes in the EDP system.</w:t>
      </w:r>
    </w:p>
    <w:p w14:paraId="04ECB301" w14:textId="77777777" w:rsidR="006516E4" w:rsidRDefault="006516E4" w:rsidP="00E512A2">
      <w:pPr>
        <w:pStyle w:val="BodyText"/>
        <w:numPr>
          <w:ilvl w:val="1"/>
          <w:numId w:val="5"/>
        </w:numPr>
        <w:spacing w:line="254" w:lineRule="auto"/>
        <w:ind w:left="851" w:right="38" w:hanging="425"/>
        <w:jc w:val="both"/>
        <w:rPr>
          <w:color w:val="000000" w:themeColor="text1"/>
          <w:lang w:val="id-ID"/>
        </w:rPr>
      </w:pPr>
      <w:r w:rsidRPr="006516E4">
        <w:rPr>
          <w:color w:val="000000" w:themeColor="text1"/>
          <w:lang w:val="id-ID"/>
        </w:rPr>
        <w:t xml:space="preserve"> Audit Through The Computer</w:t>
      </w:r>
    </w:p>
    <w:p w14:paraId="453750FC" w14:textId="68043832" w:rsidR="006516E4" w:rsidRPr="006516E4" w:rsidRDefault="006516E4" w:rsidP="006516E4">
      <w:pPr>
        <w:pStyle w:val="BodyText"/>
        <w:spacing w:line="254" w:lineRule="auto"/>
        <w:ind w:left="851" w:right="38"/>
        <w:jc w:val="both"/>
        <w:rPr>
          <w:color w:val="000000" w:themeColor="text1"/>
          <w:lang w:val="id-ID"/>
        </w:rPr>
      </w:pPr>
      <w:r w:rsidRPr="006516E4">
        <w:rPr>
          <w:color w:val="000000" w:themeColor="text1"/>
          <w:lang w:val="id-ID"/>
        </w:rPr>
        <w:t>In addition to checking the inputs and outputs, the auditors also test the EDP process. The test (a compliance test) is carried out using Generalized Audit Software, ACL, etc. and entering dummy data (false data) to find out whether the data is processed according to the system that should be. Dummy data is used so as not to interfere with the original data. In this case the KAP must have a Computer Audit Specialist who is an experienced auditor with additional expertise in the field of computer information system auditing.</w:t>
      </w:r>
    </w:p>
    <w:p w14:paraId="06C7A50F" w14:textId="4C2DA383" w:rsidR="00A57E55" w:rsidRDefault="00A57E55" w:rsidP="00C6304B">
      <w:pPr>
        <w:pStyle w:val="BodyText"/>
        <w:spacing w:line="254" w:lineRule="auto"/>
        <w:ind w:right="38"/>
        <w:jc w:val="both"/>
        <w:rPr>
          <w:color w:val="000000" w:themeColor="text1"/>
          <w:lang w:val="id-ID"/>
        </w:rPr>
      </w:pPr>
    </w:p>
    <w:p w14:paraId="2F3EA8CA" w14:textId="431B197F" w:rsidR="00AC419C" w:rsidRPr="006516E4" w:rsidRDefault="006516E4" w:rsidP="00AC419C">
      <w:pPr>
        <w:pStyle w:val="BodyText"/>
        <w:spacing w:line="254" w:lineRule="auto"/>
        <w:ind w:right="38"/>
        <w:jc w:val="both"/>
        <w:rPr>
          <w:b/>
          <w:color w:val="000000" w:themeColor="text1"/>
          <w:sz w:val="22"/>
          <w:szCs w:val="22"/>
        </w:rPr>
      </w:pPr>
      <w:r>
        <w:rPr>
          <w:b/>
          <w:color w:val="000000" w:themeColor="text1"/>
          <w:sz w:val="22"/>
          <w:szCs w:val="22"/>
          <w:lang w:val="id-ID"/>
        </w:rPr>
        <w:t xml:space="preserve">D. </w:t>
      </w:r>
      <w:r w:rsidRPr="006516E4">
        <w:rPr>
          <w:b/>
          <w:color w:val="000000" w:themeColor="text1"/>
          <w:sz w:val="22"/>
          <w:szCs w:val="22"/>
        </w:rPr>
        <w:t>Auditing Standard</w:t>
      </w:r>
    </w:p>
    <w:p w14:paraId="6C3C2241" w14:textId="60139927" w:rsidR="00A57E55" w:rsidRDefault="00623C42" w:rsidP="0071205A">
      <w:pPr>
        <w:pStyle w:val="BodyText"/>
        <w:spacing w:line="254" w:lineRule="auto"/>
        <w:ind w:right="38" w:firstLine="453"/>
        <w:jc w:val="both"/>
        <w:rPr>
          <w:color w:val="000000" w:themeColor="text1"/>
        </w:rPr>
      </w:pPr>
      <w:r>
        <w:rPr>
          <w:color w:val="000000" w:themeColor="text1"/>
        </w:rPr>
        <w:t>Agoes (2012</w:t>
      </w:r>
      <w:r w:rsidR="0071205A" w:rsidRPr="0071205A">
        <w:rPr>
          <w:color w:val="000000" w:themeColor="text1"/>
        </w:rPr>
        <w:t>) states that there are three major groups of audit standards, namely:</w:t>
      </w:r>
    </w:p>
    <w:p w14:paraId="6F73029F" w14:textId="77777777" w:rsidR="0071205A" w:rsidRDefault="0071205A" w:rsidP="00E512A2">
      <w:pPr>
        <w:pStyle w:val="BodyText"/>
        <w:numPr>
          <w:ilvl w:val="0"/>
          <w:numId w:val="6"/>
        </w:numPr>
        <w:spacing w:line="254" w:lineRule="auto"/>
        <w:ind w:left="426" w:right="38" w:hanging="284"/>
        <w:jc w:val="both"/>
        <w:rPr>
          <w:color w:val="000000" w:themeColor="text1"/>
          <w:lang w:val="id-ID"/>
        </w:rPr>
      </w:pPr>
      <w:r w:rsidRPr="0071205A">
        <w:rPr>
          <w:color w:val="000000" w:themeColor="text1"/>
          <w:lang w:val="id-ID"/>
        </w:rPr>
        <w:lastRenderedPageBreak/>
        <w:t>General Standard</w:t>
      </w:r>
    </w:p>
    <w:p w14:paraId="020D5A2C" w14:textId="77777777" w:rsidR="0071205A" w:rsidRDefault="0071205A" w:rsidP="0071205A">
      <w:pPr>
        <w:pStyle w:val="BodyText"/>
        <w:spacing w:line="254" w:lineRule="auto"/>
        <w:ind w:left="426" w:right="38"/>
        <w:jc w:val="both"/>
        <w:rPr>
          <w:color w:val="000000" w:themeColor="text1"/>
          <w:lang w:val="id-ID"/>
        </w:rPr>
      </w:pPr>
      <w:r w:rsidRPr="0071205A">
        <w:rPr>
          <w:color w:val="000000" w:themeColor="text1"/>
          <w:lang w:val="id-ID"/>
        </w:rPr>
        <w:t>The general standards are personal and relate to the auditor's requirements and the quality of his work, and differ from standards relating to the conduct of field work and reporting. Personal standards or general standards apply equally in the field of field work implementation and reporting.</w:t>
      </w:r>
    </w:p>
    <w:p w14:paraId="644D64D7" w14:textId="77777777" w:rsidR="0071205A" w:rsidRDefault="0071205A" w:rsidP="00E512A2">
      <w:pPr>
        <w:pStyle w:val="BodyText"/>
        <w:numPr>
          <w:ilvl w:val="0"/>
          <w:numId w:val="6"/>
        </w:numPr>
        <w:spacing w:line="254" w:lineRule="auto"/>
        <w:ind w:left="426" w:right="38" w:hanging="284"/>
        <w:jc w:val="both"/>
        <w:rPr>
          <w:color w:val="000000" w:themeColor="text1"/>
          <w:lang w:val="id-ID"/>
        </w:rPr>
      </w:pPr>
      <w:r w:rsidRPr="0071205A">
        <w:rPr>
          <w:color w:val="000000" w:themeColor="text1"/>
          <w:lang w:val="id-ID"/>
        </w:rPr>
        <w:t>Fieldwork Standard</w:t>
      </w:r>
    </w:p>
    <w:p w14:paraId="70045B78" w14:textId="77777777" w:rsidR="0071205A" w:rsidRDefault="0071205A" w:rsidP="0071205A">
      <w:pPr>
        <w:pStyle w:val="BodyText"/>
        <w:spacing w:line="254" w:lineRule="auto"/>
        <w:ind w:left="426" w:right="38"/>
        <w:jc w:val="both"/>
        <w:rPr>
          <w:color w:val="000000" w:themeColor="text1"/>
          <w:lang w:val="id-ID"/>
        </w:rPr>
      </w:pPr>
      <w:r w:rsidRPr="0071205A">
        <w:rPr>
          <w:color w:val="000000" w:themeColor="text1"/>
          <w:lang w:val="id-ID"/>
        </w:rPr>
        <w:t>Field work standards are related to the implementation of field work audits, starting from audit planning and supervision, understanding and evaluating internal control, collecting audit evidence through compliance tests, substantive tests, analytical tests, to the completion of field work audits.</w:t>
      </w:r>
    </w:p>
    <w:p w14:paraId="34796345" w14:textId="77777777" w:rsidR="0071205A" w:rsidRDefault="0071205A" w:rsidP="00E512A2">
      <w:pPr>
        <w:pStyle w:val="BodyText"/>
        <w:numPr>
          <w:ilvl w:val="0"/>
          <w:numId w:val="6"/>
        </w:numPr>
        <w:spacing w:line="254" w:lineRule="auto"/>
        <w:ind w:left="426" w:right="38" w:hanging="284"/>
        <w:jc w:val="both"/>
        <w:rPr>
          <w:color w:val="000000" w:themeColor="text1"/>
          <w:lang w:val="id-ID"/>
        </w:rPr>
      </w:pPr>
      <w:r w:rsidRPr="0071205A">
        <w:rPr>
          <w:color w:val="000000" w:themeColor="text1"/>
          <w:lang w:val="id-ID"/>
        </w:rPr>
        <w:t>Reporting Standards</w:t>
      </w:r>
    </w:p>
    <w:p w14:paraId="721F123E" w14:textId="3D16F31D" w:rsidR="0071205A" w:rsidRPr="0071205A" w:rsidRDefault="0071205A" w:rsidP="0071205A">
      <w:pPr>
        <w:pStyle w:val="BodyText"/>
        <w:spacing w:line="254" w:lineRule="auto"/>
        <w:ind w:left="426" w:right="38"/>
        <w:jc w:val="both"/>
        <w:rPr>
          <w:color w:val="000000" w:themeColor="text1"/>
          <w:lang w:val="id-ID"/>
        </w:rPr>
      </w:pPr>
      <w:r w:rsidRPr="0071205A">
        <w:rPr>
          <w:color w:val="000000" w:themeColor="text1"/>
          <w:lang w:val="id-ID"/>
        </w:rPr>
        <w:t>Reporting standards relate to issues of communicating audit results, namely:</w:t>
      </w:r>
    </w:p>
    <w:p w14:paraId="2D0BC2F8" w14:textId="4EE7B58C" w:rsidR="0071205A" w:rsidRPr="0071205A" w:rsidRDefault="0071205A" w:rsidP="00E512A2">
      <w:pPr>
        <w:pStyle w:val="BodyText"/>
        <w:numPr>
          <w:ilvl w:val="1"/>
          <w:numId w:val="7"/>
        </w:numPr>
        <w:spacing w:line="254" w:lineRule="auto"/>
        <w:ind w:left="709" w:right="38" w:hanging="283"/>
        <w:jc w:val="both"/>
        <w:rPr>
          <w:color w:val="000000" w:themeColor="text1"/>
          <w:lang w:val="id-ID"/>
        </w:rPr>
      </w:pPr>
      <w:r w:rsidRPr="0071205A">
        <w:rPr>
          <w:color w:val="000000" w:themeColor="text1"/>
          <w:lang w:val="id-ID"/>
        </w:rPr>
        <w:t>The auditor's report must state whether the financial statements have been prepared in accordance with generally accepted accounting principles in Indonesia.</w:t>
      </w:r>
    </w:p>
    <w:p w14:paraId="3743740B" w14:textId="2A2C8956" w:rsidR="0071205A" w:rsidRPr="0071205A" w:rsidRDefault="0071205A" w:rsidP="00E512A2">
      <w:pPr>
        <w:pStyle w:val="BodyText"/>
        <w:numPr>
          <w:ilvl w:val="1"/>
          <w:numId w:val="7"/>
        </w:numPr>
        <w:spacing w:line="254" w:lineRule="auto"/>
        <w:ind w:left="709" w:right="38" w:hanging="283"/>
        <w:jc w:val="both"/>
        <w:rPr>
          <w:color w:val="000000" w:themeColor="text1"/>
          <w:lang w:val="id-ID"/>
        </w:rPr>
      </w:pPr>
      <w:r w:rsidRPr="0071205A">
        <w:rPr>
          <w:color w:val="000000" w:themeColor="text1"/>
          <w:lang w:val="id-ID"/>
        </w:rPr>
        <w:t>The auditor's report must indicate or state, if there is an inconsistency in the application of accounting principles in the preparation of financial statements for the current period compared to the application of these accounting principles in the previous period.</w:t>
      </w:r>
    </w:p>
    <w:p w14:paraId="31C79C91" w14:textId="099D7B0B" w:rsidR="0071205A" w:rsidRPr="0071205A" w:rsidRDefault="0071205A" w:rsidP="00E512A2">
      <w:pPr>
        <w:pStyle w:val="BodyText"/>
        <w:numPr>
          <w:ilvl w:val="1"/>
          <w:numId w:val="7"/>
        </w:numPr>
        <w:spacing w:line="254" w:lineRule="auto"/>
        <w:ind w:left="709" w:right="38" w:hanging="283"/>
        <w:jc w:val="both"/>
        <w:rPr>
          <w:color w:val="000000" w:themeColor="text1"/>
          <w:lang w:val="id-ID"/>
        </w:rPr>
      </w:pPr>
      <w:r w:rsidRPr="0071205A">
        <w:rPr>
          <w:color w:val="000000" w:themeColor="text1"/>
          <w:lang w:val="id-ID"/>
        </w:rPr>
        <w:t>Informative disclosures in the financial statements should be considered adequate, unless otherwise stated in the auditor's report.</w:t>
      </w:r>
    </w:p>
    <w:p w14:paraId="0DBFCB01" w14:textId="2118E404" w:rsidR="00A57E55" w:rsidRDefault="0071205A" w:rsidP="00E512A2">
      <w:pPr>
        <w:pStyle w:val="BodyText"/>
        <w:numPr>
          <w:ilvl w:val="1"/>
          <w:numId w:val="7"/>
        </w:numPr>
        <w:spacing w:line="254" w:lineRule="auto"/>
        <w:ind w:left="709" w:right="38" w:hanging="283"/>
        <w:jc w:val="both"/>
        <w:rPr>
          <w:color w:val="000000" w:themeColor="text1"/>
          <w:lang w:val="id-ID"/>
        </w:rPr>
      </w:pPr>
      <w:r w:rsidRPr="0071205A">
        <w:rPr>
          <w:color w:val="000000" w:themeColor="text1"/>
          <w:lang w:val="id-ID"/>
        </w:rPr>
        <w:t>The auditor's report must contain an opinion on the financial statements taken as a whole or an assertion that such a statement cannot be given. If an opinion in its entirety cannot be given, then the reasons must be stated. In the event that the name of the auditor is associated with the financial statements, the auditor's report must contain clear instructions regarding the nature of the audit work performed, if any, and the level of responsibility assumed by the auditor.</w:t>
      </w:r>
    </w:p>
    <w:p w14:paraId="52F03F20" w14:textId="77777777" w:rsidR="0071205A" w:rsidRDefault="0071205A" w:rsidP="0071205A">
      <w:pPr>
        <w:pStyle w:val="BodyText"/>
        <w:spacing w:line="254" w:lineRule="auto"/>
        <w:ind w:left="709" w:right="38"/>
        <w:jc w:val="both"/>
        <w:rPr>
          <w:color w:val="000000" w:themeColor="text1"/>
          <w:lang w:val="id-ID"/>
        </w:rPr>
      </w:pPr>
    </w:p>
    <w:p w14:paraId="487B568D" w14:textId="0511ED81" w:rsidR="00191B4E" w:rsidRPr="0071205A" w:rsidRDefault="0071205A" w:rsidP="0071205A">
      <w:pPr>
        <w:pStyle w:val="BodyText"/>
        <w:spacing w:line="254" w:lineRule="auto"/>
        <w:ind w:left="142" w:right="38"/>
        <w:jc w:val="both"/>
        <w:rPr>
          <w:b/>
          <w:color w:val="000000" w:themeColor="text1"/>
          <w:sz w:val="22"/>
          <w:szCs w:val="22"/>
        </w:rPr>
      </w:pPr>
      <w:r>
        <w:rPr>
          <w:b/>
          <w:color w:val="000000" w:themeColor="text1"/>
          <w:sz w:val="22"/>
          <w:szCs w:val="22"/>
          <w:lang w:val="id-ID"/>
        </w:rPr>
        <w:t xml:space="preserve">E. </w:t>
      </w:r>
      <w:r w:rsidRPr="0071205A">
        <w:rPr>
          <w:b/>
          <w:color w:val="000000" w:themeColor="text1"/>
          <w:sz w:val="22"/>
          <w:szCs w:val="22"/>
        </w:rPr>
        <w:t>Audit Delay</w:t>
      </w:r>
    </w:p>
    <w:p w14:paraId="1AE11DBF" w14:textId="4EE132B9" w:rsidR="0071205A" w:rsidRPr="0071205A" w:rsidRDefault="00623C42" w:rsidP="0008058A">
      <w:pPr>
        <w:pStyle w:val="BodyText"/>
        <w:spacing w:line="254" w:lineRule="auto"/>
        <w:ind w:right="38" w:firstLine="453"/>
        <w:jc w:val="both"/>
        <w:rPr>
          <w:color w:val="000000" w:themeColor="text1"/>
          <w:lang w:val="id-ID"/>
        </w:rPr>
      </w:pPr>
      <w:r>
        <w:rPr>
          <w:color w:val="000000" w:themeColor="text1"/>
          <w:lang w:val="id-ID"/>
        </w:rPr>
        <w:t xml:space="preserve">Kartika in </w:t>
      </w:r>
      <w:r>
        <w:rPr>
          <w:color w:val="000000" w:themeColor="text1"/>
          <w:lang w:val="id-ID"/>
        </w:rPr>
        <w:fldChar w:fldCharType="begin" w:fldLock="1"/>
      </w:r>
      <w:r>
        <w:rPr>
          <w:color w:val="000000" w:themeColor="text1"/>
          <w:lang w:val="id-ID"/>
        </w:rPr>
        <w:instrText>ADDIN CSL_CITATION {"citationItems":[{"id":"ITEM-1","itemData":{"ISSN":"2461-0585","author":[{"dropping-particle":"","family":"Armansyah","given":"Fendi","non-dropping-particle":"","parse-names":false,"suffix":""},{"dropping-particle":"","family":"Kurnia","given":"Kurnia","non-dropping-particle":"","parse-names":false,"suffix":""}],"container-title":"Jurnal Ilmu dan Riset Akuntansi (JIRA)","id":"ITEM-1","issue":"10","issued":{"date-parts":[["2015"]]},"title":"Pengaruh Ukuran Perusahaan, Profitabilitas, dan Opini Auditor terhadap Audit Delay","type":"article-journal","volume":"4"},"uris":["http://www.mendeley.com/documents/?uuid=95fefdb4-aaa6-4e47-8280-15d5988e9f24"]}],"mendeley":{"formattedCitation":"(Armansyah &amp; Kurnia, 2015)","manualFormatting":"Armansyah &amp; Kurnia (2015)","plainTextFormattedCitation":"(Armansyah &amp; Kurnia, 2015)","previouslyFormattedCitation":"(Armansyah &amp; Kurnia, 2015)"},"properties":{"noteIndex":0},"schema":"https://github.com/citation-style-language/schema/raw/master/csl-citation.json"}</w:instrText>
      </w:r>
      <w:r>
        <w:rPr>
          <w:color w:val="000000" w:themeColor="text1"/>
          <w:lang w:val="id-ID"/>
        </w:rPr>
        <w:fldChar w:fldCharType="separate"/>
      </w:r>
      <w:r>
        <w:rPr>
          <w:noProof/>
          <w:color w:val="000000" w:themeColor="text1"/>
          <w:lang w:val="id-ID"/>
        </w:rPr>
        <w:t xml:space="preserve">Armansyah &amp; Kurnia </w:t>
      </w:r>
      <w:r>
        <w:rPr>
          <w:noProof/>
          <w:color w:val="000000" w:themeColor="text1"/>
        </w:rPr>
        <w:t>(</w:t>
      </w:r>
      <w:r w:rsidRPr="00623C42">
        <w:rPr>
          <w:noProof/>
          <w:color w:val="000000" w:themeColor="text1"/>
          <w:lang w:val="id-ID"/>
        </w:rPr>
        <w:t>2015)</w:t>
      </w:r>
      <w:r>
        <w:rPr>
          <w:color w:val="000000" w:themeColor="text1"/>
          <w:lang w:val="id-ID"/>
        </w:rPr>
        <w:fldChar w:fldCharType="end"/>
      </w:r>
      <w:r>
        <w:rPr>
          <w:color w:val="000000" w:themeColor="text1"/>
        </w:rPr>
        <w:t xml:space="preserve"> </w:t>
      </w:r>
      <w:r w:rsidRPr="00623C42">
        <w:rPr>
          <w:color w:val="000000" w:themeColor="text1"/>
        </w:rPr>
        <w:t xml:space="preserve">explain that </w:t>
      </w:r>
      <w:r w:rsidR="0071205A" w:rsidRPr="0071205A">
        <w:rPr>
          <w:color w:val="000000" w:themeColor="text1"/>
          <w:lang w:val="id-ID"/>
        </w:rPr>
        <w:t>audit delay is the length of time for completion of the audit from the end of the company's fiscal year to the date the audit report is issued. If the audit delay is longer, the possibility of delays in submitting financial statements will be even greater</w:t>
      </w:r>
      <w:r>
        <w:rPr>
          <w:color w:val="000000" w:themeColor="text1"/>
          <w:lang w:val="id-ID"/>
        </w:rPr>
        <w:t xml:space="preserve">. According to Dyer and Mc Hugh in </w:t>
      </w:r>
      <w:r>
        <w:rPr>
          <w:color w:val="000000" w:themeColor="text1"/>
          <w:lang w:val="id-ID"/>
        </w:rPr>
        <w:fldChar w:fldCharType="begin" w:fldLock="1"/>
      </w:r>
      <w:r>
        <w:rPr>
          <w:color w:val="000000" w:themeColor="text1"/>
          <w:lang w:val="id-ID"/>
        </w:rPr>
        <w:instrText>ADDIN CSL_CITATION {"citationItems":[{"id":"ITEM-1","itemData":{"ISSN":"2656-9124","author":[{"dropping-particle":"","family":"Halim","given":"Varianada","non-dropping-particle":"","parse-names":false,"suffix":""}],"container-title":"Jurnal Bisnis dan Akuntansi","id":"ITEM-1","issue":"1","issued":{"date-parts":[["2000"]]},"page":"63-75","title":"Faktor-Faktor Yang Mempengaruhi Audit Delay","type":"article-journal","volume":"2"},"uris":["http://www.mendeley.com/documents/?uuid=99ed84e3-a66e-4826-b35a-21f5d9c4fe18"]}],"mendeley":{"formattedCitation":"(Halim, 2000)","manualFormatting":"Halim (2000)","plainTextFormattedCitation":"(Halim, 2000)","previouslyFormattedCitation":"(Halim, 2000)"},"properties":{"noteIndex":0},"schema":"https://github.com/citation-style-language/schema/raw/master/csl-citation.json"}</w:instrText>
      </w:r>
      <w:r>
        <w:rPr>
          <w:color w:val="000000" w:themeColor="text1"/>
          <w:lang w:val="id-ID"/>
        </w:rPr>
        <w:fldChar w:fldCharType="separate"/>
      </w:r>
      <w:r>
        <w:rPr>
          <w:noProof/>
          <w:color w:val="000000" w:themeColor="text1"/>
          <w:lang w:val="id-ID"/>
        </w:rPr>
        <w:t xml:space="preserve">Halim </w:t>
      </w:r>
      <w:r>
        <w:rPr>
          <w:noProof/>
          <w:color w:val="000000" w:themeColor="text1"/>
        </w:rPr>
        <w:t>(</w:t>
      </w:r>
      <w:r w:rsidRPr="00623C42">
        <w:rPr>
          <w:noProof/>
          <w:color w:val="000000" w:themeColor="text1"/>
          <w:lang w:val="id-ID"/>
        </w:rPr>
        <w:t>2000)</w:t>
      </w:r>
      <w:r>
        <w:rPr>
          <w:color w:val="000000" w:themeColor="text1"/>
          <w:lang w:val="id-ID"/>
        </w:rPr>
        <w:fldChar w:fldCharType="end"/>
      </w:r>
      <w:r>
        <w:rPr>
          <w:color w:val="000000" w:themeColor="text1"/>
        </w:rPr>
        <w:t xml:space="preserve"> </w:t>
      </w:r>
      <w:r w:rsidR="0071205A" w:rsidRPr="0071205A">
        <w:rPr>
          <w:color w:val="000000" w:themeColor="text1"/>
          <w:lang w:val="id-ID"/>
        </w:rPr>
        <w:t>there are three delays in submitting financial statements, including:</w:t>
      </w:r>
    </w:p>
    <w:p w14:paraId="5F27FDAE" w14:textId="77777777" w:rsidR="0008058A" w:rsidRDefault="0071205A" w:rsidP="00E512A2">
      <w:pPr>
        <w:pStyle w:val="BodyText"/>
        <w:numPr>
          <w:ilvl w:val="0"/>
          <w:numId w:val="8"/>
        </w:numPr>
        <w:spacing w:line="254" w:lineRule="auto"/>
        <w:ind w:left="426" w:right="38" w:hanging="284"/>
        <w:jc w:val="both"/>
        <w:rPr>
          <w:color w:val="000000" w:themeColor="text1"/>
          <w:lang w:val="id-ID"/>
        </w:rPr>
      </w:pPr>
      <w:r w:rsidRPr="0071205A">
        <w:rPr>
          <w:color w:val="000000" w:themeColor="text1"/>
          <w:lang w:val="id-ID"/>
        </w:rPr>
        <w:t>Preliminary lag, which is the number of days interval between the end of the financial year and the date of receipt of the preliminary financial statements by the stock exchange.</w:t>
      </w:r>
    </w:p>
    <w:p w14:paraId="369E89B0" w14:textId="77777777" w:rsidR="0008058A" w:rsidRDefault="0071205A" w:rsidP="00E512A2">
      <w:pPr>
        <w:pStyle w:val="BodyText"/>
        <w:numPr>
          <w:ilvl w:val="0"/>
          <w:numId w:val="8"/>
        </w:numPr>
        <w:spacing w:line="254" w:lineRule="auto"/>
        <w:ind w:left="426" w:right="38" w:hanging="284"/>
        <w:jc w:val="both"/>
        <w:rPr>
          <w:color w:val="000000" w:themeColor="text1"/>
          <w:lang w:val="id-ID"/>
        </w:rPr>
      </w:pPr>
      <w:r w:rsidRPr="0008058A">
        <w:rPr>
          <w:color w:val="000000" w:themeColor="text1"/>
          <w:lang w:val="id-ID"/>
        </w:rPr>
        <w:t>Auditor's signature lag, which is the number of days interval between the end of the financial year and the date the auditor's report is signed.</w:t>
      </w:r>
    </w:p>
    <w:p w14:paraId="795B99CF" w14:textId="1FAFCED5" w:rsidR="0071205A" w:rsidRPr="0008058A" w:rsidRDefault="0071205A" w:rsidP="00E512A2">
      <w:pPr>
        <w:pStyle w:val="BodyText"/>
        <w:numPr>
          <w:ilvl w:val="0"/>
          <w:numId w:val="8"/>
        </w:numPr>
        <w:spacing w:line="254" w:lineRule="auto"/>
        <w:ind w:left="426" w:right="38" w:hanging="284"/>
        <w:jc w:val="both"/>
        <w:rPr>
          <w:color w:val="000000" w:themeColor="text1"/>
          <w:lang w:val="id-ID"/>
        </w:rPr>
      </w:pPr>
      <w:r w:rsidRPr="0008058A">
        <w:rPr>
          <w:color w:val="000000" w:themeColor="text1"/>
          <w:lang w:val="id-ID"/>
        </w:rPr>
        <w:t>Total lag, which is the number of days interval between the end of the financial year and the date of receipt of the annual financial statements published on the stock exchange.</w:t>
      </w:r>
    </w:p>
    <w:p w14:paraId="2B684BE7" w14:textId="77BC1CBE" w:rsidR="0071205A" w:rsidRDefault="0071205A" w:rsidP="0071205A">
      <w:pPr>
        <w:pStyle w:val="BodyText"/>
        <w:spacing w:line="254" w:lineRule="auto"/>
        <w:ind w:right="38" w:firstLine="453"/>
        <w:jc w:val="both"/>
        <w:rPr>
          <w:color w:val="000000" w:themeColor="text1"/>
          <w:lang w:val="id-ID"/>
        </w:rPr>
      </w:pPr>
      <w:r w:rsidRPr="0071205A">
        <w:rPr>
          <w:color w:val="000000" w:themeColor="text1"/>
          <w:lang w:val="id-ID"/>
        </w:rPr>
        <w:t xml:space="preserve">Timeliness is a quality related to the availability of information when it is needed. The time between the date of the financial statements and the audit report (audit delay) reflects the </w:t>
      </w:r>
      <w:r w:rsidRPr="0071205A">
        <w:rPr>
          <w:color w:val="000000" w:themeColor="text1"/>
          <w:lang w:val="id-ID"/>
        </w:rPr>
        <w:lastRenderedPageBreak/>
        <w:t>timeliness of the submission of financial statements. Information that is actually of great value can become irrelevant if it is not available when it is needed. Timeliness of information implies that information is available before it loses its ability to influence or make a difference in decisions. Information should be submitted as early as possible so that it can be used as a basis to assist in making economic decisions and to avoid delays in making those decisions.</w:t>
      </w:r>
    </w:p>
    <w:p w14:paraId="06A7AA06" w14:textId="1904F3B9" w:rsidR="0008058A" w:rsidRDefault="0008058A" w:rsidP="0071205A">
      <w:pPr>
        <w:pStyle w:val="BodyText"/>
        <w:spacing w:line="254" w:lineRule="auto"/>
        <w:ind w:right="38" w:firstLine="453"/>
        <w:jc w:val="both"/>
        <w:rPr>
          <w:color w:val="000000" w:themeColor="text1"/>
          <w:lang w:val="id-ID"/>
        </w:rPr>
      </w:pPr>
    </w:p>
    <w:p w14:paraId="6E06C464" w14:textId="0BA7BE42" w:rsidR="0008058A" w:rsidRDefault="0008058A" w:rsidP="0008058A">
      <w:pPr>
        <w:pStyle w:val="BodyText"/>
        <w:spacing w:line="254" w:lineRule="auto"/>
        <w:ind w:left="0" w:right="38"/>
        <w:jc w:val="center"/>
        <w:rPr>
          <w:color w:val="000000" w:themeColor="text1"/>
          <w:lang w:val="id-ID"/>
        </w:rPr>
      </w:pPr>
      <w:r w:rsidRPr="0008058A">
        <w:rPr>
          <w:color w:val="000000" w:themeColor="text1"/>
          <w:lang w:val="id-ID"/>
        </w:rPr>
        <w:t>Audit Delay = Audited Report Date – Financial Year End Date (31 December 201x)</w:t>
      </w:r>
    </w:p>
    <w:p w14:paraId="3C09D3C8" w14:textId="372B2F8B" w:rsidR="00B80966" w:rsidRDefault="00B80966" w:rsidP="00A57E55">
      <w:pPr>
        <w:pStyle w:val="BodyText"/>
        <w:spacing w:line="254" w:lineRule="auto"/>
        <w:ind w:right="38"/>
        <w:jc w:val="both"/>
        <w:rPr>
          <w:color w:val="000000" w:themeColor="text1"/>
          <w:lang w:val="id-ID"/>
        </w:rPr>
      </w:pPr>
    </w:p>
    <w:p w14:paraId="0ECBBB92" w14:textId="5B7BB145" w:rsidR="0008058A" w:rsidRDefault="0008058A" w:rsidP="00A57E55">
      <w:pPr>
        <w:pStyle w:val="BodyText"/>
        <w:spacing w:line="254" w:lineRule="auto"/>
        <w:ind w:right="38"/>
        <w:jc w:val="both"/>
        <w:rPr>
          <w:color w:val="000000" w:themeColor="text1"/>
          <w:lang w:val="id-ID"/>
        </w:rPr>
      </w:pPr>
    </w:p>
    <w:p w14:paraId="515D5FA2" w14:textId="6E713BB8" w:rsidR="0008058A" w:rsidRPr="0071205A" w:rsidRDefault="0008058A" w:rsidP="0008058A">
      <w:pPr>
        <w:pStyle w:val="BodyText"/>
        <w:spacing w:line="254" w:lineRule="auto"/>
        <w:ind w:left="142" w:right="38"/>
        <w:jc w:val="both"/>
        <w:rPr>
          <w:b/>
          <w:color w:val="000000" w:themeColor="text1"/>
          <w:sz w:val="22"/>
          <w:szCs w:val="22"/>
        </w:rPr>
      </w:pPr>
      <w:r>
        <w:rPr>
          <w:b/>
          <w:color w:val="000000" w:themeColor="text1"/>
          <w:sz w:val="22"/>
          <w:szCs w:val="22"/>
        </w:rPr>
        <w:t>F</w:t>
      </w:r>
      <w:r>
        <w:rPr>
          <w:b/>
          <w:color w:val="000000" w:themeColor="text1"/>
          <w:sz w:val="22"/>
          <w:szCs w:val="22"/>
          <w:lang w:val="id-ID"/>
        </w:rPr>
        <w:t xml:space="preserve">. </w:t>
      </w:r>
      <w:r w:rsidRPr="0008058A">
        <w:rPr>
          <w:b/>
          <w:color w:val="000000" w:themeColor="text1"/>
          <w:sz w:val="22"/>
          <w:szCs w:val="22"/>
        </w:rPr>
        <w:t>Company Size</w:t>
      </w:r>
    </w:p>
    <w:p w14:paraId="014D847F" w14:textId="15683B99" w:rsidR="0008058A" w:rsidRDefault="0008058A" w:rsidP="0008058A">
      <w:pPr>
        <w:pStyle w:val="BodyText"/>
        <w:spacing w:line="254" w:lineRule="auto"/>
        <w:ind w:right="38" w:firstLine="453"/>
        <w:jc w:val="both"/>
        <w:rPr>
          <w:color w:val="000000" w:themeColor="text1"/>
          <w:lang w:val="id-ID"/>
        </w:rPr>
      </w:pPr>
      <w:r w:rsidRPr="0008058A">
        <w:rPr>
          <w:color w:val="000000" w:themeColor="text1"/>
          <w:lang w:val="id-ID"/>
        </w:rPr>
        <w:t>Company size is the size of a company that is influenced by several things, including operational complexity, variability, and the intensity of the company's transactions which will certainly affect the speed in presenting financial statements to the public. The size of the company in this study is measured by using the value of assets</w:t>
      </w:r>
      <w:r w:rsidR="00623C42">
        <w:rPr>
          <w:color w:val="000000" w:themeColor="text1"/>
        </w:rPr>
        <w:t xml:space="preserve"> </w:t>
      </w:r>
      <w:r w:rsidR="00623C42">
        <w:rPr>
          <w:color w:val="000000" w:themeColor="text1"/>
        </w:rPr>
        <w:fldChar w:fldCharType="begin" w:fldLock="1"/>
      </w:r>
      <w:r w:rsidR="00623C42">
        <w:rPr>
          <w:color w:val="000000" w:themeColor="text1"/>
        </w:rPr>
        <w:instrText>ADDIN CSL_CITATION {"citationItems":[{"id":"ITEM-1","itemData":{"ISSN":"2774-518X","author":[{"dropping-particle":"","family":"Yusuf","given":"Yusuf","non-dropping-particle":"","parse-names":false,"suffix":""},{"dropping-particle":"","family":"Suherman","given":"Asep","non-dropping-particle":"","parse-names":false,"suffix":""}],"container-title":"Jurnal Akuntansi Dan Bisnis Indonesia (JABISI)","id":"ITEM-1","issue":"1","issued":{"date-parts":[["2021"]]},"page":"39-49","title":"Pengaruh Likuiditas Dan Profitabilitas Terhadap Kebijakan Dividen Dengan Variabel Ukuran Perusahaan Sebagai Variabel Mediasi","type":"article-journal","volume":"2"},"uris":["http://www.mendeley.com/documents/?uuid=2ab154c5-0980-4f1e-93ab-91e2e942a2ec"]}],"mendeley":{"formattedCitation":"(Yusuf &amp; Suherman, 2021)","plainTextFormattedCitation":"(Yusuf &amp; Suherman, 2021)","previouslyFormattedCitation":"(Yusuf &amp; Suherman, 2021)"},"properties":{"noteIndex":0},"schema":"https://github.com/citation-style-language/schema/raw/master/csl-citation.json"}</w:instrText>
      </w:r>
      <w:r w:rsidR="00623C42">
        <w:rPr>
          <w:color w:val="000000" w:themeColor="text1"/>
        </w:rPr>
        <w:fldChar w:fldCharType="separate"/>
      </w:r>
      <w:r w:rsidR="00623C42" w:rsidRPr="00623C42">
        <w:rPr>
          <w:noProof/>
          <w:color w:val="000000" w:themeColor="text1"/>
        </w:rPr>
        <w:t>(Yusuf &amp; Suherman, 2021)</w:t>
      </w:r>
      <w:r w:rsidR="00623C42">
        <w:rPr>
          <w:color w:val="000000" w:themeColor="text1"/>
        </w:rPr>
        <w:fldChar w:fldCharType="end"/>
      </w:r>
      <w:r w:rsidRPr="0008058A">
        <w:rPr>
          <w:color w:val="000000" w:themeColor="text1"/>
          <w:lang w:val="id-ID"/>
        </w:rPr>
        <w:t xml:space="preserve">. </w:t>
      </w:r>
    </w:p>
    <w:p w14:paraId="5E92DD7B" w14:textId="78FA70CF" w:rsidR="0008058A" w:rsidRPr="0008058A" w:rsidRDefault="00623C42" w:rsidP="0008058A">
      <w:pPr>
        <w:pStyle w:val="BodyText"/>
        <w:spacing w:line="254" w:lineRule="auto"/>
        <w:ind w:right="38" w:firstLine="453"/>
        <w:jc w:val="both"/>
        <w:rPr>
          <w:color w:val="000000" w:themeColor="text1"/>
          <w:lang w:val="id-ID"/>
        </w:rPr>
      </w:pPr>
      <w:r>
        <w:rPr>
          <w:color w:val="000000" w:themeColor="text1"/>
          <w:lang w:val="id-ID"/>
        </w:rPr>
        <w:fldChar w:fldCharType="begin" w:fldLock="1"/>
      </w:r>
      <w:r>
        <w:rPr>
          <w:color w:val="000000" w:themeColor="text1"/>
          <w:lang w:val="id-ID"/>
        </w:rPr>
        <w:instrText>ADDIN CSL_CITATION {"citationItems":[{"id":"ITEM-1","itemData":{"ISSN":"2477-4782","author":[{"dropping-particle":"","family":"Elvienne","given":"Ruth","non-dropping-particle":"","parse-names":false,"suffix":""},{"dropping-particle":"","family":"Apriwenni","given":"Prima","non-dropping-particle":"","parse-names":false,"suffix":""}],"container-title":"Jurnal Akuntansi","id":"ITEM-1","issue":"2","issued":{"date-parts":[["2019"]]},"title":"PENGARUH PROFITABILITAS, SOLVABILITAS, DAN UKURAN PERUSAHAAN TERHADAP AUDIT DELAY DENGAN REPUTASI KAP SEBAGAI PEMODERASI","type":"article-journal","volume":"8"},"uris":["http://www.mendeley.com/documents/?uuid=7b77e11e-7ec2-4460-b7bd-7ebc868895bf"]}],"mendeley":{"formattedCitation":"(Elvienne &amp; Apriwenni, 2019)","manualFormatting":"Elvienne &amp; Apriwenni (2019)","plainTextFormattedCitation":"(Elvienne &amp; Apriwenni, 2019)","previouslyFormattedCitation":"(Elvienne &amp; Apriwenni, 2019)"},"properties":{"noteIndex":0},"schema":"https://github.com/citation-style-language/schema/raw/master/csl-citation.json"}</w:instrText>
      </w:r>
      <w:r>
        <w:rPr>
          <w:color w:val="000000" w:themeColor="text1"/>
          <w:lang w:val="id-ID"/>
        </w:rPr>
        <w:fldChar w:fldCharType="separate"/>
      </w:r>
      <w:r>
        <w:rPr>
          <w:noProof/>
          <w:color w:val="000000" w:themeColor="text1"/>
          <w:lang w:val="id-ID"/>
        </w:rPr>
        <w:t xml:space="preserve">Elvienne &amp; Apriwenni </w:t>
      </w:r>
      <w:r>
        <w:rPr>
          <w:noProof/>
          <w:color w:val="000000" w:themeColor="text1"/>
        </w:rPr>
        <w:t>(</w:t>
      </w:r>
      <w:r w:rsidRPr="00623C42">
        <w:rPr>
          <w:noProof/>
          <w:color w:val="000000" w:themeColor="text1"/>
          <w:lang w:val="id-ID"/>
        </w:rPr>
        <w:t>2019)</w:t>
      </w:r>
      <w:r>
        <w:rPr>
          <w:color w:val="000000" w:themeColor="text1"/>
          <w:lang w:val="id-ID"/>
        </w:rPr>
        <w:fldChar w:fldCharType="end"/>
      </w:r>
      <w:r>
        <w:rPr>
          <w:color w:val="000000" w:themeColor="text1"/>
        </w:rPr>
        <w:t xml:space="preserve"> </w:t>
      </w:r>
      <w:r w:rsidR="0008058A" w:rsidRPr="0008058A">
        <w:rPr>
          <w:color w:val="000000" w:themeColor="text1"/>
          <w:lang w:val="id-ID"/>
        </w:rPr>
        <w:t>states that audit delay has a negative relationship with company size using total assets as a proxy. This means that the greater the company's assets, the shorter the audit delay. The reason is first, large companies will have good internal control so that they can minimize errors when preparing financial statements, making it easier for auditors to audit financial statements. Second, large companies have the financial resources to pay a larger audit fee in order to get faster audit services. And thirdly, large-scale companies tend to come under pressure from both investors, capital supervisors, and the government. Therefore, large companies are required to immediately publish the company's financial statements so that they can be immediately used for business decision making.</w:t>
      </w:r>
    </w:p>
    <w:p w14:paraId="0BF6F69B" w14:textId="0D4619B2" w:rsidR="0008058A" w:rsidRPr="0008058A" w:rsidRDefault="0008058A" w:rsidP="0008058A">
      <w:pPr>
        <w:pStyle w:val="BodyText"/>
        <w:spacing w:line="254" w:lineRule="auto"/>
        <w:ind w:right="38" w:firstLine="453"/>
        <w:jc w:val="both"/>
        <w:rPr>
          <w:color w:val="000000" w:themeColor="text1"/>
          <w:lang w:val="id-ID"/>
        </w:rPr>
      </w:pPr>
      <w:r w:rsidRPr="0008058A">
        <w:rPr>
          <w:color w:val="000000" w:themeColor="text1"/>
          <w:lang w:val="id-ID"/>
        </w:rPr>
        <w:t>Large companies usually have a shorter audit delay than small companies. This is caused by several factors, namely the management of large-scale companies tend to be given incentives to reduce audit delay, because these companies are closely monitored by investors, capital supervisors from the government. These parties are very interested in the information contained in the financial statements. The measurement of total assets in this study is seen from the total assets of the company.</w:t>
      </w:r>
    </w:p>
    <w:p w14:paraId="55547DE8" w14:textId="440CCB11" w:rsidR="0008058A" w:rsidRPr="0008058A" w:rsidRDefault="0008058A" w:rsidP="0008058A">
      <w:pPr>
        <w:pStyle w:val="BodyText"/>
        <w:spacing w:line="254" w:lineRule="auto"/>
        <w:ind w:right="38" w:firstLine="453"/>
        <w:jc w:val="both"/>
        <w:rPr>
          <w:color w:val="000000" w:themeColor="text1"/>
          <w:lang w:val="id-ID"/>
        </w:rPr>
      </w:pPr>
    </w:p>
    <w:p w14:paraId="4330D074" w14:textId="22D67ED5" w:rsidR="0008058A" w:rsidRPr="0008058A" w:rsidRDefault="0008058A" w:rsidP="0008058A">
      <w:pPr>
        <w:pStyle w:val="BodyText"/>
        <w:spacing w:line="254" w:lineRule="auto"/>
        <w:ind w:left="142" w:right="38"/>
        <w:jc w:val="both"/>
        <w:rPr>
          <w:b/>
          <w:color w:val="000000" w:themeColor="text1"/>
        </w:rPr>
      </w:pPr>
      <w:r w:rsidRPr="0008058A">
        <w:rPr>
          <w:b/>
          <w:color w:val="000000" w:themeColor="text1"/>
        </w:rPr>
        <w:t>G</w:t>
      </w:r>
      <w:r w:rsidRPr="0008058A">
        <w:rPr>
          <w:b/>
          <w:color w:val="000000" w:themeColor="text1"/>
          <w:lang w:val="id-ID"/>
        </w:rPr>
        <w:t xml:space="preserve">. </w:t>
      </w:r>
      <w:r w:rsidRPr="0008058A">
        <w:rPr>
          <w:b/>
          <w:color w:val="000000" w:themeColor="text1"/>
        </w:rPr>
        <w:t>Public Accounting Firm Size</w:t>
      </w:r>
    </w:p>
    <w:p w14:paraId="0FCA0232" w14:textId="77777777" w:rsidR="0008058A" w:rsidRDefault="0008058A" w:rsidP="0008058A">
      <w:pPr>
        <w:pStyle w:val="BodyText"/>
        <w:spacing w:line="254" w:lineRule="auto"/>
        <w:ind w:left="142" w:right="38" w:firstLine="425"/>
        <w:jc w:val="both"/>
        <w:rPr>
          <w:color w:val="000000" w:themeColor="text1"/>
        </w:rPr>
      </w:pPr>
      <w:r w:rsidRPr="0008058A">
        <w:rPr>
          <w:color w:val="000000" w:themeColor="text1"/>
        </w:rPr>
        <w:t>Companies in submitting a report or information on the company's performance to the public so that it is accurate and reliable are asked to use the services of a KAP and to increase the credibility of the report, the company uses the services of a KAP that has a reputation or good name. This is usually indicated by a KAP affiliated with a large universally accepted KAP known as the Big Four Worldwide Accuonting Firm or Big Four.</w:t>
      </w:r>
    </w:p>
    <w:p w14:paraId="0407A988" w14:textId="64FE6DDF" w:rsidR="0008058A" w:rsidRPr="0008058A" w:rsidRDefault="0008058A" w:rsidP="0008058A">
      <w:pPr>
        <w:pStyle w:val="BodyText"/>
        <w:spacing w:line="254" w:lineRule="auto"/>
        <w:ind w:left="142" w:right="38" w:firstLine="425"/>
        <w:jc w:val="both"/>
        <w:rPr>
          <w:color w:val="000000" w:themeColor="text1"/>
        </w:rPr>
      </w:pPr>
      <w:r w:rsidRPr="0008058A">
        <w:rPr>
          <w:color w:val="000000" w:themeColor="text1"/>
        </w:rPr>
        <w:t>The Big Four is a group of four of the largest professional services firms worldwide, offering accounting-related services, such as auditing, assurance, taxation, management consulting, advisory, actuarial, and corporate finance. The groups included in the big four are as follows:</w:t>
      </w:r>
    </w:p>
    <w:p w14:paraId="34FF7803" w14:textId="72BCE9CE" w:rsidR="0008058A" w:rsidRPr="0008058A" w:rsidRDefault="0008058A" w:rsidP="00E512A2">
      <w:pPr>
        <w:pStyle w:val="BodyText"/>
        <w:numPr>
          <w:ilvl w:val="0"/>
          <w:numId w:val="9"/>
        </w:numPr>
        <w:spacing w:line="254" w:lineRule="auto"/>
        <w:ind w:left="426" w:right="38" w:hanging="284"/>
        <w:jc w:val="both"/>
        <w:rPr>
          <w:color w:val="000000" w:themeColor="text1"/>
        </w:rPr>
      </w:pPr>
      <w:r w:rsidRPr="0008058A">
        <w:rPr>
          <w:color w:val="000000" w:themeColor="text1"/>
        </w:rPr>
        <w:t>Deloitte Touche Tohmatsu</w:t>
      </w:r>
    </w:p>
    <w:p w14:paraId="47ABC802" w14:textId="181A4304" w:rsidR="0008058A" w:rsidRPr="0008058A" w:rsidRDefault="0008058A" w:rsidP="00E512A2">
      <w:pPr>
        <w:pStyle w:val="BodyText"/>
        <w:numPr>
          <w:ilvl w:val="0"/>
          <w:numId w:val="9"/>
        </w:numPr>
        <w:spacing w:line="254" w:lineRule="auto"/>
        <w:ind w:left="426" w:right="38" w:hanging="284"/>
        <w:jc w:val="both"/>
        <w:rPr>
          <w:color w:val="000000" w:themeColor="text1"/>
        </w:rPr>
      </w:pPr>
      <w:r w:rsidRPr="0008058A">
        <w:rPr>
          <w:color w:val="000000" w:themeColor="text1"/>
        </w:rPr>
        <w:lastRenderedPageBreak/>
        <w:t>Price waterhouse Coopers (PwC)</w:t>
      </w:r>
    </w:p>
    <w:p w14:paraId="2424C20E" w14:textId="4289A341" w:rsidR="0008058A" w:rsidRPr="0008058A" w:rsidRDefault="0008058A" w:rsidP="00E512A2">
      <w:pPr>
        <w:pStyle w:val="BodyText"/>
        <w:numPr>
          <w:ilvl w:val="0"/>
          <w:numId w:val="9"/>
        </w:numPr>
        <w:spacing w:line="254" w:lineRule="auto"/>
        <w:ind w:left="426" w:right="38" w:hanging="284"/>
        <w:jc w:val="both"/>
        <w:rPr>
          <w:color w:val="000000" w:themeColor="text1"/>
        </w:rPr>
      </w:pPr>
      <w:r w:rsidRPr="0008058A">
        <w:rPr>
          <w:color w:val="000000" w:themeColor="text1"/>
        </w:rPr>
        <w:t>Ernst &amp; Young (EY)</w:t>
      </w:r>
    </w:p>
    <w:p w14:paraId="313557F2" w14:textId="3548D44C" w:rsidR="0008058A" w:rsidRPr="0008058A" w:rsidRDefault="0008058A" w:rsidP="00E512A2">
      <w:pPr>
        <w:pStyle w:val="BodyText"/>
        <w:numPr>
          <w:ilvl w:val="0"/>
          <w:numId w:val="9"/>
        </w:numPr>
        <w:spacing w:line="254" w:lineRule="auto"/>
        <w:ind w:left="426" w:right="38" w:hanging="284"/>
        <w:jc w:val="both"/>
        <w:rPr>
          <w:color w:val="000000" w:themeColor="text1"/>
        </w:rPr>
      </w:pPr>
      <w:r w:rsidRPr="0008058A">
        <w:rPr>
          <w:color w:val="000000" w:themeColor="text1"/>
        </w:rPr>
        <w:t>Klynveld Peat Marwick Goerdeler (KPMG)</w:t>
      </w:r>
    </w:p>
    <w:p w14:paraId="228AB21C" w14:textId="4AAF08CA" w:rsidR="0008058A" w:rsidRDefault="00623C42" w:rsidP="0008058A">
      <w:pPr>
        <w:pStyle w:val="BodyText"/>
        <w:spacing w:line="254" w:lineRule="auto"/>
        <w:ind w:left="142" w:right="38" w:firstLine="425"/>
        <w:jc w:val="both"/>
        <w:rPr>
          <w:color w:val="000000" w:themeColor="text1"/>
        </w:rPr>
      </w:pPr>
      <w:r>
        <w:rPr>
          <w:color w:val="000000" w:themeColor="text1"/>
        </w:rPr>
        <w:fldChar w:fldCharType="begin" w:fldLock="1"/>
      </w:r>
      <w:r w:rsidR="004D309A">
        <w:rPr>
          <w:color w:val="000000" w:themeColor="text1"/>
        </w:rPr>
        <w:instrText>ADDIN CSL_CITATION {"citationItems":[{"id":"ITEM-1","itemData":{"author":[{"dropping-particle":"","family":"Ariyanto","given":"Ady","non-dropping-particle":"","parse-names":false,"suffix":""}],"id":"ITEM-1","issued":{"date-parts":[["2018"]]},"publisher":"Universitas Islam Indonesia","title":"Pengaruh Total Asset, Profitabilitas, Solvabilitas, Ukuran KAP terhadap Audit Delay (Studi Empiris pada Perusahaan Jasa Sektor Property &amp; Real Estate yang Terdaftar di Bursa Efek Indonesia Tahun 2015–2016)","type":"article-journal"},"uris":["http://www.mendeley.com/documents/?uuid=1d7b0cca-d309-4b9f-935b-caa8d3f71ae2"]}],"mendeley":{"formattedCitation":"(Ariyanto, 2018)","manualFormatting":"Ariyanto (2018)","plainTextFormattedCitation":"(Ariyanto, 2018)","previouslyFormattedCitation":"(Ariyanto, 2018)"},"properties":{"noteIndex":0},"schema":"https://github.com/citation-style-language/schema/raw/master/csl-citation.json"}</w:instrText>
      </w:r>
      <w:r>
        <w:rPr>
          <w:color w:val="000000" w:themeColor="text1"/>
        </w:rPr>
        <w:fldChar w:fldCharType="separate"/>
      </w:r>
      <w:r>
        <w:rPr>
          <w:noProof/>
          <w:color w:val="000000" w:themeColor="text1"/>
        </w:rPr>
        <w:t>Ariyanto (</w:t>
      </w:r>
      <w:r w:rsidRPr="00623C42">
        <w:rPr>
          <w:noProof/>
          <w:color w:val="000000" w:themeColor="text1"/>
        </w:rPr>
        <w:t>2018)</w:t>
      </w:r>
      <w:r>
        <w:rPr>
          <w:color w:val="000000" w:themeColor="text1"/>
        </w:rPr>
        <w:fldChar w:fldCharType="end"/>
      </w:r>
      <w:r>
        <w:rPr>
          <w:color w:val="000000" w:themeColor="text1"/>
        </w:rPr>
        <w:t xml:space="preserve"> </w:t>
      </w:r>
      <w:r w:rsidR="0008058A" w:rsidRPr="0008058A">
        <w:rPr>
          <w:color w:val="000000" w:themeColor="text1"/>
        </w:rPr>
        <w:t>found that audit delay does not have a negative effect on the size of KAP. This is assumed because the KAP affiliated with the Big Four KAP (large KAP) has many more competent specialist workers, but due to the large number of clients handled, the longer the audit process carried out by the Big Four KAP. On the other hand, non-Big Four KAPs tend to accept fewer clients in their audit period. However, non-Big Four KAPs do not have as many specialists as Big Four KAPs, which results in longer audits being carried out. In contrast to the results of research conducted by</w:t>
      </w:r>
      <w:r>
        <w:rPr>
          <w:color w:val="000000" w:themeColor="text1"/>
        </w:rPr>
        <w:t xml:space="preserve"> </w:t>
      </w:r>
      <w:r w:rsidRPr="00623C42">
        <w:rPr>
          <w:color w:val="000000" w:themeColor="text1"/>
        </w:rPr>
        <w:t>Amani &amp; Waluyo (2016)</w:t>
      </w:r>
      <w:r w:rsidR="0008058A" w:rsidRPr="0008058A">
        <w:rPr>
          <w:color w:val="000000" w:themeColor="text1"/>
        </w:rPr>
        <w:t>, that there is an influence between the size of the KAP on audit delay.</w:t>
      </w:r>
    </w:p>
    <w:p w14:paraId="19CC74AB" w14:textId="57EFB8A0" w:rsidR="0008058A" w:rsidRPr="0008058A" w:rsidRDefault="0008058A" w:rsidP="0008058A">
      <w:pPr>
        <w:pStyle w:val="BodyText"/>
        <w:spacing w:line="254" w:lineRule="auto"/>
        <w:ind w:left="142" w:right="38" w:firstLine="425"/>
        <w:jc w:val="both"/>
        <w:rPr>
          <w:color w:val="000000" w:themeColor="text1"/>
        </w:rPr>
      </w:pPr>
      <w:r w:rsidRPr="0008058A">
        <w:rPr>
          <w:color w:val="000000" w:themeColor="text1"/>
        </w:rPr>
        <w:t>KAP size is measured using a dummy variable, namely companies audited by KAP affiliated with the big four KAP are given a dummy value of 1 and companies audited by KAP not affiliated with the big four KAP are given a dummy value of 0.</w:t>
      </w:r>
    </w:p>
    <w:p w14:paraId="3E15CCEA" w14:textId="578234A4" w:rsidR="0008058A" w:rsidRPr="0008058A" w:rsidRDefault="0008058A" w:rsidP="0008058A">
      <w:pPr>
        <w:pStyle w:val="BodyText"/>
        <w:spacing w:line="254" w:lineRule="auto"/>
        <w:ind w:left="142" w:right="38"/>
        <w:jc w:val="both"/>
        <w:rPr>
          <w:color w:val="000000" w:themeColor="text1"/>
          <w:sz w:val="22"/>
          <w:szCs w:val="22"/>
        </w:rPr>
      </w:pPr>
    </w:p>
    <w:p w14:paraId="03D86AF7" w14:textId="0D530647" w:rsidR="0008058A" w:rsidRDefault="0008058A" w:rsidP="0008058A">
      <w:pPr>
        <w:pStyle w:val="BodyText"/>
        <w:spacing w:line="254" w:lineRule="auto"/>
        <w:ind w:left="142" w:right="38"/>
        <w:jc w:val="both"/>
        <w:rPr>
          <w:b/>
          <w:color w:val="000000" w:themeColor="text1"/>
          <w:sz w:val="22"/>
          <w:szCs w:val="22"/>
        </w:rPr>
      </w:pPr>
      <w:r>
        <w:rPr>
          <w:b/>
          <w:color w:val="000000" w:themeColor="text1"/>
          <w:sz w:val="22"/>
          <w:szCs w:val="22"/>
        </w:rPr>
        <w:t>G</w:t>
      </w:r>
      <w:r>
        <w:rPr>
          <w:b/>
          <w:color w:val="000000" w:themeColor="text1"/>
          <w:sz w:val="22"/>
          <w:szCs w:val="22"/>
          <w:lang w:val="id-ID"/>
        </w:rPr>
        <w:t xml:space="preserve">. </w:t>
      </w:r>
      <w:r w:rsidRPr="0008058A">
        <w:rPr>
          <w:b/>
          <w:color w:val="000000" w:themeColor="text1"/>
          <w:sz w:val="22"/>
          <w:szCs w:val="22"/>
        </w:rPr>
        <w:t>Profitability</w:t>
      </w:r>
    </w:p>
    <w:p w14:paraId="22DC0AAD" w14:textId="202C84F6" w:rsidR="00095FF8" w:rsidRDefault="0021234D" w:rsidP="00095FF8">
      <w:pPr>
        <w:pStyle w:val="BodyText"/>
        <w:spacing w:line="254" w:lineRule="auto"/>
        <w:ind w:left="142" w:right="38" w:firstLine="425"/>
        <w:jc w:val="both"/>
        <w:rPr>
          <w:color w:val="000000" w:themeColor="text1"/>
        </w:rPr>
      </w:pPr>
      <w:r w:rsidRPr="0021234D">
        <w:rPr>
          <w:color w:val="000000" w:themeColor="text1"/>
        </w:rPr>
        <w:t>Profitability shows the ability of a company to generate profits, both in relation to sales, assets, and certain share capital</w:t>
      </w:r>
      <w:r w:rsidR="004D309A">
        <w:rPr>
          <w:color w:val="000000" w:themeColor="text1"/>
        </w:rPr>
        <w:t xml:space="preserve"> </w:t>
      </w:r>
      <w:r w:rsidR="004D309A">
        <w:rPr>
          <w:color w:val="000000" w:themeColor="text1"/>
        </w:rPr>
        <w:fldChar w:fldCharType="begin" w:fldLock="1"/>
      </w:r>
      <w:r w:rsidR="004D309A">
        <w:rPr>
          <w:color w:val="000000" w:themeColor="text1"/>
        </w:rPr>
        <w:instrText>ADDIN CSL_CITATION {"citationItems":[{"id":"ITEM-1","itemData":{"ISSN":"2774-518X","author":[{"dropping-particle":"","family":"Yusuf","given":"Yusuf","non-dropping-particle":"","parse-names":false,"suffix":""},{"dropping-particle":"","family":"Suherman","given":"Asep","non-dropping-particle":"","parse-names":false,"suffix":""}],"container-title":"Jurnal Akuntansi Dan Bisnis Indonesia (JABISI)","id":"ITEM-1","issue":"1","issued":{"date-parts":[["2021"]]},"page":"39-49","title":"Pengaruh Likuiditas Dan Profitabilitas Terhadap Kebijakan Dividen Dengan Variabel Ukuran Perusahaan Sebagai Variabel Mediasi","type":"article-journal","volume":"2"},"uris":["http://www.mendeley.com/documents/?uuid=2ab154c5-0980-4f1e-93ab-91e2e942a2ec"]}],"mendeley":{"formattedCitation":"(Yusuf &amp; Suherman, 2021)","plainTextFormattedCitation":"(Yusuf &amp; Suherman, 2021)","previouslyFormattedCitation":"(Yusuf &amp; Suherman, 2021)"},"properties":{"noteIndex":0},"schema":"https://github.com/citation-style-language/schema/raw/master/csl-citation.json"}</w:instrText>
      </w:r>
      <w:r w:rsidR="004D309A">
        <w:rPr>
          <w:color w:val="000000" w:themeColor="text1"/>
        </w:rPr>
        <w:fldChar w:fldCharType="separate"/>
      </w:r>
      <w:r w:rsidR="004D309A" w:rsidRPr="004D309A">
        <w:rPr>
          <w:noProof/>
          <w:color w:val="000000" w:themeColor="text1"/>
        </w:rPr>
        <w:t>(Yusuf &amp; Suherman, 2021)</w:t>
      </w:r>
      <w:r w:rsidR="004D309A">
        <w:rPr>
          <w:color w:val="000000" w:themeColor="text1"/>
        </w:rPr>
        <w:fldChar w:fldCharType="end"/>
      </w:r>
      <w:r w:rsidRPr="0021234D">
        <w:rPr>
          <w:color w:val="000000" w:themeColor="text1"/>
        </w:rPr>
        <w:t>. The company's profitability is seen from the net profit (net profit/loss after tax).</w:t>
      </w:r>
      <w:r w:rsidR="00095FF8">
        <w:rPr>
          <w:color w:val="000000" w:themeColor="text1"/>
        </w:rPr>
        <w:t xml:space="preserve"> </w:t>
      </w:r>
      <w:r w:rsidR="00623C42">
        <w:rPr>
          <w:color w:val="000000" w:themeColor="text1"/>
        </w:rPr>
        <w:t xml:space="preserve">According to Gitman and Joehnk </w:t>
      </w:r>
      <w:r w:rsidRPr="0021234D">
        <w:rPr>
          <w:color w:val="000000" w:themeColor="text1"/>
        </w:rPr>
        <w:t>in</w:t>
      </w:r>
      <w:r w:rsidR="004D309A">
        <w:rPr>
          <w:color w:val="000000" w:themeColor="text1"/>
        </w:rPr>
        <w:t xml:space="preserve"> </w:t>
      </w:r>
      <w:r w:rsidR="004D309A">
        <w:rPr>
          <w:color w:val="000000" w:themeColor="text1"/>
        </w:rPr>
        <w:fldChar w:fldCharType="begin" w:fldLock="1"/>
      </w:r>
      <w:r w:rsidR="004D309A">
        <w:rPr>
          <w:color w:val="000000" w:themeColor="text1"/>
        </w:rPr>
        <w:instrText>ADDIN CSL_CITATION {"citationItems":[{"id":"ITEM-1","itemData":{"ISSN":"2541-5476","author":[{"dropping-particle":"","family":"Pranata","given":"Hans Christian","non-dropping-particle":"","parse-names":false,"suffix":""},{"dropping-particle":"","family":"Kurnia","given":"Ratnawati","non-dropping-particle":"","parse-names":false,"suffix":""}],"container-title":"Ultimaccounting: Jurnal Ilmu Akuntansi","id":"ITEM-1","issue":"2","issued":{"date-parts":[["2013"]]},"page":"81-98","title":"Pengaruh Profitabilitas, Likuiditas, Solvabilitas, Dan Kebijakan Dividen Terhadap Harga Saham","type":"article-journal","volume":"5"},"uris":["http://www.mendeley.com/documents/?uuid=ee1ac793-ef11-4e11-9f50-cf169e48b680"]}],"mendeley":{"formattedCitation":"(Pranata &amp; Kurnia, 2013)","manualFormatting":"Pranata &amp; Kurnia (2013)","plainTextFormattedCitation":"(Pranata &amp; Kurnia, 2013)","previouslyFormattedCitation":"(Pranata &amp; Kurnia, 2013)"},"properties":{"noteIndex":0},"schema":"https://github.com/citation-style-language/schema/raw/master/csl-citation.json"}</w:instrText>
      </w:r>
      <w:r w:rsidR="004D309A">
        <w:rPr>
          <w:color w:val="000000" w:themeColor="text1"/>
        </w:rPr>
        <w:fldChar w:fldCharType="separate"/>
      </w:r>
      <w:r w:rsidR="004D309A">
        <w:rPr>
          <w:noProof/>
          <w:color w:val="000000" w:themeColor="text1"/>
        </w:rPr>
        <w:t>Pranata &amp; Kurnia (</w:t>
      </w:r>
      <w:r w:rsidR="004D309A" w:rsidRPr="004D309A">
        <w:rPr>
          <w:noProof/>
          <w:color w:val="000000" w:themeColor="text1"/>
        </w:rPr>
        <w:t>2013)</w:t>
      </w:r>
      <w:r w:rsidR="004D309A">
        <w:rPr>
          <w:color w:val="000000" w:themeColor="text1"/>
        </w:rPr>
        <w:fldChar w:fldCharType="end"/>
      </w:r>
      <w:r w:rsidR="004D309A">
        <w:rPr>
          <w:color w:val="000000" w:themeColor="text1"/>
        </w:rPr>
        <w:t xml:space="preserve"> </w:t>
      </w:r>
      <w:r w:rsidRPr="0021234D">
        <w:rPr>
          <w:color w:val="000000" w:themeColor="text1"/>
        </w:rPr>
        <w:t xml:space="preserve">profitability is the relationship between revenue and costs generated by utilizing assets effectively in the production process. Companies that can generate profits or have higher profitability tend to be more timely in their financial reporting. Profitability is good news and managers will tend to report profits faster than losses. This is because the publication of these earnings can have an impact on stock prices and other indicators. </w:t>
      </w:r>
    </w:p>
    <w:p w14:paraId="17B28F12" w14:textId="2627EB4D" w:rsidR="00095FF8" w:rsidRDefault="0021234D" w:rsidP="00095FF8">
      <w:pPr>
        <w:pStyle w:val="BodyText"/>
        <w:spacing w:line="254" w:lineRule="auto"/>
        <w:ind w:left="142" w:right="38" w:firstLine="425"/>
        <w:jc w:val="both"/>
        <w:rPr>
          <w:color w:val="000000" w:themeColor="text1"/>
        </w:rPr>
      </w:pPr>
      <w:r w:rsidRPr="0021234D">
        <w:rPr>
          <w:color w:val="000000" w:themeColor="text1"/>
        </w:rPr>
        <w:t>This is in line with th</w:t>
      </w:r>
      <w:r w:rsidR="004D309A">
        <w:rPr>
          <w:color w:val="000000" w:themeColor="text1"/>
        </w:rPr>
        <w:t xml:space="preserve">e opinion of Ashton and Elliot in </w:t>
      </w:r>
      <w:r w:rsidR="004D309A">
        <w:rPr>
          <w:color w:val="000000" w:themeColor="text1"/>
        </w:rPr>
        <w:fldChar w:fldCharType="begin" w:fldLock="1"/>
      </w:r>
      <w:r w:rsidR="004D309A">
        <w:rPr>
          <w:color w:val="000000" w:themeColor="text1"/>
        </w:rPr>
        <w:instrText>ADDIN CSL_CITATION {"citationItems":[{"id":"ITEM-1","itemData":{"ISSN":"2461-0585","author":[{"dropping-particle":"","family":"Armansyah","given":"Fendi","non-dropping-particle":"","parse-names":false,"suffix":""},{"dropping-particle":"","family":"Kurnia","given":"Kurnia","non-dropping-particle":"","parse-names":false,"suffix":""}],"container-title":"Jurnal Ilmu dan Riset Akuntansi (JIRA)","id":"ITEM-1","issue":"10","issued":{"date-parts":[["2015"]]},"title":"Pengaruh Ukuran Perusahaan, Profitabilitas, dan Opini Auditor terhadap Audit Delay","type":"article-journal","volume":"4"},"uris":["http://www.mendeley.com/documents/?uuid=95fefdb4-aaa6-4e47-8280-15d5988e9f24"]}],"mendeley":{"formattedCitation":"(Armansyah &amp; Kurnia, 2015)","manualFormatting":"Armansyah &amp; Kurnia (2015)","plainTextFormattedCitation":"(Armansyah &amp; Kurnia, 2015)","previouslyFormattedCitation":"(Armansyah &amp; Kurnia, 2015)"},"properties":{"noteIndex":0},"schema":"https://github.com/citation-style-language/schema/raw/master/csl-citation.json"}</w:instrText>
      </w:r>
      <w:r w:rsidR="004D309A">
        <w:rPr>
          <w:color w:val="000000" w:themeColor="text1"/>
        </w:rPr>
        <w:fldChar w:fldCharType="separate"/>
      </w:r>
      <w:r w:rsidR="004D309A">
        <w:rPr>
          <w:noProof/>
          <w:color w:val="000000" w:themeColor="text1"/>
        </w:rPr>
        <w:t>Armansyah &amp; Kurnia (</w:t>
      </w:r>
      <w:r w:rsidR="004D309A" w:rsidRPr="004D309A">
        <w:rPr>
          <w:noProof/>
          <w:color w:val="000000" w:themeColor="text1"/>
        </w:rPr>
        <w:t>2015)</w:t>
      </w:r>
      <w:r w:rsidR="004D309A">
        <w:rPr>
          <w:color w:val="000000" w:themeColor="text1"/>
        </w:rPr>
        <w:fldChar w:fldCharType="end"/>
      </w:r>
      <w:r w:rsidR="004D309A">
        <w:rPr>
          <w:color w:val="000000" w:themeColor="text1"/>
        </w:rPr>
        <w:t xml:space="preserve"> </w:t>
      </w:r>
      <w:r w:rsidRPr="0021234D">
        <w:rPr>
          <w:color w:val="000000" w:themeColor="text1"/>
        </w:rPr>
        <w:t>that there are several reasons that encourage the decline in the publication of financial statements, namely reporting profit or loss as an indicator of good news and bad news on the company's ma</w:t>
      </w:r>
      <w:r w:rsidR="00095FF8">
        <w:rPr>
          <w:color w:val="000000" w:themeColor="text1"/>
        </w:rPr>
        <w:t>nagerial performance in a year.</w:t>
      </w:r>
    </w:p>
    <w:p w14:paraId="45248CC3" w14:textId="630E6BD8" w:rsidR="0008058A" w:rsidRDefault="004D309A" w:rsidP="00095FF8">
      <w:pPr>
        <w:pStyle w:val="BodyText"/>
        <w:spacing w:line="254" w:lineRule="auto"/>
        <w:ind w:left="142" w:right="38" w:firstLine="425"/>
        <w:jc w:val="both"/>
        <w:rPr>
          <w:color w:val="000000" w:themeColor="text1"/>
        </w:rPr>
      </w:pPr>
      <w:r>
        <w:rPr>
          <w:color w:val="000000" w:themeColor="text1"/>
        </w:rPr>
        <w:t xml:space="preserve">According to  </w:t>
      </w:r>
      <w:r>
        <w:rPr>
          <w:color w:val="000000" w:themeColor="text1"/>
        </w:rPr>
        <w:fldChar w:fldCharType="begin" w:fldLock="1"/>
      </w:r>
      <w:r>
        <w:rPr>
          <w:color w:val="000000" w:themeColor="text1"/>
        </w:rPr>
        <w:instrText>ADDIN CSL_CITATION {"citationItems":[{"id":"ITEM-1","itemData":{"author":[{"dropping-particle":"","family":"Kasmir","given":"","non-dropping-particle":"","parse-names":false,"suffix":""}],"id":"ITEM-1","issued":{"date-parts":[["2016"]]},"publisher":"RajaGrafindo Persada","publisher-place":"Jakarta","title":"Analisis Laporan Keuangan","type":"book"},"uris":["http://www.mendeley.com/documents/?uuid=752e45b4-983a-4b43-a442-ce1dc80043bf"]}],"mendeley":{"formattedCitation":"(Kasmir, 2016)","manualFormatting":"Kasmir (2016)","plainTextFormattedCitation":"(Kasmir, 2016)","previouslyFormattedCitation":"(Kasmir, 2016)"},"properties":{"noteIndex":0},"schema":"https://github.com/citation-style-language/schema/raw/master/csl-citation.json"}</w:instrText>
      </w:r>
      <w:r>
        <w:rPr>
          <w:color w:val="000000" w:themeColor="text1"/>
        </w:rPr>
        <w:fldChar w:fldCharType="separate"/>
      </w:r>
      <w:r>
        <w:rPr>
          <w:noProof/>
          <w:color w:val="000000" w:themeColor="text1"/>
        </w:rPr>
        <w:t>Kasmir (</w:t>
      </w:r>
      <w:r w:rsidRPr="004D309A">
        <w:rPr>
          <w:noProof/>
          <w:color w:val="000000" w:themeColor="text1"/>
        </w:rPr>
        <w:t>2016)</w:t>
      </w:r>
      <w:r>
        <w:rPr>
          <w:color w:val="000000" w:themeColor="text1"/>
        </w:rPr>
        <w:fldChar w:fldCharType="end"/>
      </w:r>
      <w:r>
        <w:rPr>
          <w:color w:val="000000" w:themeColor="text1"/>
        </w:rPr>
        <w:t xml:space="preserve"> </w:t>
      </w:r>
      <w:r w:rsidR="0021234D" w:rsidRPr="0021234D">
        <w:rPr>
          <w:color w:val="000000" w:themeColor="text1"/>
        </w:rPr>
        <w:t>the profitability ratio is a ratio that assesses the company's ability to seek profit. If the company announces a loss or a low level of profitability, it will bring a negative reaction from the market by decreasing the assessment of the company's performance. However, it is different for companies that will announce profits. Companies that announce earnings will have a positive impact on the assessment of other parties on the company's performance. Profit or loss reporting can be used as an indicator of good news or bad news on management performance for one year.</w:t>
      </w:r>
      <w:r w:rsidR="00E226A7">
        <w:rPr>
          <w:color w:val="000000" w:themeColor="text1"/>
        </w:rPr>
        <w:t xml:space="preserve"> </w:t>
      </w:r>
      <w:r w:rsidR="00E226A7" w:rsidRPr="00E226A7">
        <w:rPr>
          <w:color w:val="000000" w:themeColor="text1"/>
        </w:rPr>
        <w:t>ROA can be calculated by the following formula:</w:t>
      </w:r>
    </w:p>
    <w:p w14:paraId="2CFCA671" w14:textId="77777777" w:rsidR="00E226A7" w:rsidRDefault="00E226A7" w:rsidP="00095FF8">
      <w:pPr>
        <w:pStyle w:val="BodyText"/>
        <w:spacing w:line="254" w:lineRule="auto"/>
        <w:ind w:left="142" w:right="38" w:firstLine="425"/>
        <w:jc w:val="both"/>
        <w:rPr>
          <w:color w:val="000000" w:themeColor="text1"/>
        </w:rPr>
      </w:pPr>
    </w:p>
    <w:p w14:paraId="613D8576" w14:textId="636CB96E" w:rsidR="00E226A7" w:rsidRPr="0021234D" w:rsidRDefault="00E226A7" w:rsidP="00095FF8">
      <w:pPr>
        <w:pStyle w:val="BodyText"/>
        <w:spacing w:line="254" w:lineRule="auto"/>
        <w:ind w:left="142" w:right="38" w:firstLine="425"/>
        <w:jc w:val="both"/>
        <w:rPr>
          <w:color w:val="000000" w:themeColor="text1"/>
        </w:rPr>
      </w:pPr>
      <w:r w:rsidRPr="00E226A7">
        <w:rPr>
          <w:color w:val="000000" w:themeColor="text1"/>
        </w:rPr>
        <w:t>Return on Assets (ROA) = Net Profit / Total Assets</w:t>
      </w:r>
    </w:p>
    <w:p w14:paraId="392A564A" w14:textId="562F8085" w:rsidR="0008058A" w:rsidRPr="0008058A" w:rsidRDefault="0008058A" w:rsidP="0008058A">
      <w:pPr>
        <w:pStyle w:val="BodyText"/>
        <w:spacing w:line="254" w:lineRule="auto"/>
        <w:ind w:left="142" w:right="38"/>
        <w:jc w:val="both"/>
        <w:rPr>
          <w:color w:val="000000" w:themeColor="text1"/>
          <w:sz w:val="22"/>
          <w:szCs w:val="22"/>
        </w:rPr>
      </w:pPr>
    </w:p>
    <w:p w14:paraId="669BB71D" w14:textId="32836A35" w:rsidR="00E226A7" w:rsidRDefault="00E226A7" w:rsidP="00E226A7">
      <w:pPr>
        <w:pStyle w:val="BodyText"/>
        <w:spacing w:line="254" w:lineRule="auto"/>
        <w:ind w:left="142" w:right="38"/>
        <w:jc w:val="both"/>
        <w:rPr>
          <w:b/>
          <w:color w:val="000000" w:themeColor="text1"/>
          <w:sz w:val="22"/>
          <w:szCs w:val="22"/>
        </w:rPr>
      </w:pPr>
      <w:r>
        <w:rPr>
          <w:b/>
          <w:color w:val="000000" w:themeColor="text1"/>
          <w:sz w:val="22"/>
          <w:szCs w:val="22"/>
        </w:rPr>
        <w:t>H</w:t>
      </w:r>
      <w:r>
        <w:rPr>
          <w:b/>
          <w:color w:val="000000" w:themeColor="text1"/>
          <w:sz w:val="22"/>
          <w:szCs w:val="22"/>
          <w:lang w:val="id-ID"/>
        </w:rPr>
        <w:t xml:space="preserve">. </w:t>
      </w:r>
      <w:r w:rsidRPr="00E226A7">
        <w:rPr>
          <w:b/>
          <w:color w:val="000000" w:themeColor="text1"/>
          <w:sz w:val="22"/>
          <w:szCs w:val="22"/>
        </w:rPr>
        <w:t>Hypothesis</w:t>
      </w:r>
    </w:p>
    <w:p w14:paraId="03AACBA6" w14:textId="12E82E1A" w:rsidR="0008058A" w:rsidRPr="00E226A7" w:rsidRDefault="004D309A" w:rsidP="00E226A7">
      <w:pPr>
        <w:pStyle w:val="BodyText"/>
        <w:spacing w:line="254" w:lineRule="auto"/>
        <w:ind w:left="142" w:right="38" w:firstLine="425"/>
        <w:jc w:val="both"/>
        <w:rPr>
          <w:color w:val="000000" w:themeColor="text1"/>
        </w:rPr>
      </w:pPr>
      <w:r>
        <w:rPr>
          <w:color w:val="000000" w:themeColor="text1"/>
        </w:rPr>
        <w:t xml:space="preserve">Based on research conducted by </w:t>
      </w:r>
      <w:r>
        <w:rPr>
          <w:color w:val="000000" w:themeColor="text1"/>
        </w:rPr>
        <w:fldChar w:fldCharType="begin" w:fldLock="1"/>
      </w:r>
      <w:r>
        <w:rPr>
          <w:color w:val="000000" w:themeColor="text1"/>
        </w:rPr>
        <w:instrText>ADDIN CSL_CITATION {"citationItems":[{"id":"ITEM-1","itemData":{"ISSN":"2502-5430","author":[{"dropping-particle":"","family":"Saemargani","given":"Fitri Ingga","non-dropping-particle":"","parse-names":false,"suffix":""},{"dropping-particle":"","family":"Mustikawati","given":"Rr Indah","non-dropping-particle":"","parse-names":false,"suffix":""}],"container-title":"Nominal: Barometer Riset Akuntansi dan Manajemen","id":"ITEM-1","issue":"2","issued":{"date-parts":[["2015"]]},"page":"1-15","title":"Pengaruh ukuran perusahaan, umur perusahaan, profitabilitas, solvabilitas, ukuran kap, dan opini auditor terhadap audit delay","type":"article-journal","volume":"4"},"uris":["http://www.mendeley.com/documents/?uuid=8520284c-7d63-4fe1-8517-9511e1aa3898"]}],"mendeley":{"formattedCitation":"(Saemargani &amp; Mustikawati, 2015)","manualFormatting":"Saemargani &amp; Mustikawati (2015)","plainTextFormattedCitation":"(Saemargani &amp; Mustikawati, 2015)","previouslyFormattedCitation":"(Saemargani &amp; Mustikawati, 2015)"},"properties":{"noteIndex":0},"schema":"https://github.com/citation-style-language/schema/raw/master/csl-citation.json"}</w:instrText>
      </w:r>
      <w:r>
        <w:rPr>
          <w:color w:val="000000" w:themeColor="text1"/>
        </w:rPr>
        <w:fldChar w:fldCharType="separate"/>
      </w:r>
      <w:r>
        <w:rPr>
          <w:noProof/>
          <w:color w:val="000000" w:themeColor="text1"/>
        </w:rPr>
        <w:t>Saemargani &amp; Mustikawati (</w:t>
      </w:r>
      <w:r w:rsidRPr="004D309A">
        <w:rPr>
          <w:noProof/>
          <w:color w:val="000000" w:themeColor="text1"/>
        </w:rPr>
        <w:t>2015)</w:t>
      </w:r>
      <w:r>
        <w:rPr>
          <w:color w:val="000000" w:themeColor="text1"/>
        </w:rPr>
        <w:fldChar w:fldCharType="end"/>
      </w:r>
      <w:r>
        <w:rPr>
          <w:color w:val="000000" w:themeColor="text1"/>
        </w:rPr>
        <w:t xml:space="preserve">  </w:t>
      </w:r>
      <w:r w:rsidR="00E226A7" w:rsidRPr="00E226A7">
        <w:rPr>
          <w:color w:val="000000" w:themeColor="text1"/>
        </w:rPr>
        <w:t xml:space="preserve">shows that company size has a significant positive effect on audit delay. The larger the size of the company, the more assets the company has, so there will be </w:t>
      </w:r>
      <w:r w:rsidR="00E226A7" w:rsidRPr="00E226A7">
        <w:rPr>
          <w:color w:val="000000" w:themeColor="text1"/>
        </w:rPr>
        <w:lastRenderedPageBreak/>
        <w:t>more audit samples that must be examined. Because the more audit samples that must be examined, there will be a possibility of increasing the period of completion of the audit carried out by the auditor. So it can be said that the larger the size of the company, the longer the audit delay.</w:t>
      </w:r>
    </w:p>
    <w:p w14:paraId="58C77E41" w14:textId="61872020" w:rsidR="0008058A" w:rsidRDefault="00AC2B9D" w:rsidP="0008058A">
      <w:pPr>
        <w:pStyle w:val="BodyText"/>
        <w:spacing w:line="254" w:lineRule="auto"/>
        <w:ind w:left="142" w:right="38"/>
        <w:jc w:val="both"/>
        <w:rPr>
          <w:b/>
          <w:color w:val="000000" w:themeColor="text1"/>
          <w:sz w:val="22"/>
          <w:szCs w:val="22"/>
        </w:rPr>
      </w:pPr>
      <w:r w:rsidRPr="00AC2B9D">
        <w:rPr>
          <w:b/>
          <w:color w:val="000000" w:themeColor="text1"/>
          <w:sz w:val="22"/>
          <w:szCs w:val="22"/>
        </w:rPr>
        <w:t>H1: Firm size has a positive effect on audit delay.</w:t>
      </w:r>
    </w:p>
    <w:p w14:paraId="17E85C18" w14:textId="158A346E" w:rsidR="00AC2B9D" w:rsidRDefault="00AC2B9D" w:rsidP="0008058A">
      <w:pPr>
        <w:pStyle w:val="BodyText"/>
        <w:spacing w:line="254" w:lineRule="auto"/>
        <w:ind w:left="142" w:right="38"/>
        <w:jc w:val="both"/>
        <w:rPr>
          <w:b/>
          <w:color w:val="000000" w:themeColor="text1"/>
          <w:sz w:val="22"/>
          <w:szCs w:val="22"/>
        </w:rPr>
      </w:pPr>
    </w:p>
    <w:p w14:paraId="720A2ABD" w14:textId="31B70A72" w:rsidR="00AC2B9D" w:rsidRPr="00AC2B9D" w:rsidRDefault="00AC2B9D" w:rsidP="00AC2B9D">
      <w:pPr>
        <w:pStyle w:val="BodyText"/>
        <w:spacing w:line="254" w:lineRule="auto"/>
        <w:ind w:left="142" w:right="38" w:firstLine="425"/>
        <w:jc w:val="both"/>
        <w:rPr>
          <w:color w:val="000000" w:themeColor="text1"/>
        </w:rPr>
      </w:pPr>
      <w:r w:rsidRPr="00AC2B9D">
        <w:rPr>
          <w:color w:val="000000" w:themeColor="text1"/>
        </w:rPr>
        <w:t xml:space="preserve">The size of the KAP is reflected in the performance in the audit process in accordance with audit standards so that the audit results can be useful for decision making by users of financial statements. Faster audit time is a way for the firm to maintain its reputation so as not to lose clients. However, all KAPs in Indonesia carry out almost the same audit procedures, which are based on auditing standards, and comply with the applicable legal provisions in Indonesia. According to </w:t>
      </w:r>
      <w:r w:rsidR="004D309A">
        <w:rPr>
          <w:color w:val="000000" w:themeColor="text1"/>
        </w:rPr>
        <w:fldChar w:fldCharType="begin" w:fldLock="1"/>
      </w:r>
      <w:r w:rsidR="004D309A">
        <w:rPr>
          <w:color w:val="000000" w:themeColor="text1"/>
        </w:rPr>
        <w:instrText>ADDIN CSL_CITATION {"citationItems":[{"id":"ITEM-1","itemData":{"author":[{"dropping-particle":"","family":"Kurniawan","given":"Anthusian Indra","non-dropping-particle":"","parse-names":false,"suffix":""},{"dropping-particle":"","family":"Laksito","given":"Herry","non-dropping-particle":"","parse-names":false,"suffix":""}],"id":"ITEM-1","issued":{"date-parts":[["2015"]]},"publisher":"Fakultas Ekonomika dan Bisnis","title":"Analisis faktor-faktor yang mempengaruhi audit delay (Studi empiris pada perusahaan LQ 45 yang terdaftar di Bursa Efek Indonesia periode tahun 2010-2013)","type":"article"},"uris":["http://www.mendeley.com/documents/?uuid=b5cbb60e-8879-448a-9e69-13aa87bbb7d8"]}],"mendeley":{"formattedCitation":"(Kurniawan &amp; Laksito, 2015)","manualFormatting":"Kurniawan &amp; Laksito (2015)","plainTextFormattedCitation":"(Kurniawan &amp; Laksito, 2015)","previouslyFormattedCitation":"(Kurniawan &amp; Laksito, 2015)"},"properties":{"noteIndex":0},"schema":"https://github.com/citation-style-language/schema/raw/master/csl-citation.json"}</w:instrText>
      </w:r>
      <w:r w:rsidR="004D309A">
        <w:rPr>
          <w:color w:val="000000" w:themeColor="text1"/>
        </w:rPr>
        <w:fldChar w:fldCharType="separate"/>
      </w:r>
      <w:r w:rsidR="004D309A">
        <w:rPr>
          <w:noProof/>
          <w:color w:val="000000" w:themeColor="text1"/>
        </w:rPr>
        <w:t>Kurniawan &amp; Laksito (</w:t>
      </w:r>
      <w:r w:rsidR="004D309A" w:rsidRPr="004D309A">
        <w:rPr>
          <w:noProof/>
          <w:color w:val="000000" w:themeColor="text1"/>
        </w:rPr>
        <w:t>2015)</w:t>
      </w:r>
      <w:r w:rsidR="004D309A">
        <w:rPr>
          <w:color w:val="000000" w:themeColor="text1"/>
        </w:rPr>
        <w:fldChar w:fldCharType="end"/>
      </w:r>
      <w:r w:rsidR="004D309A">
        <w:rPr>
          <w:color w:val="000000" w:themeColor="text1"/>
        </w:rPr>
        <w:t xml:space="preserve"> </w:t>
      </w:r>
      <w:r w:rsidRPr="00AC2B9D">
        <w:rPr>
          <w:color w:val="000000" w:themeColor="text1"/>
        </w:rPr>
        <w:t>the size of KAP has a negative effect on audit delay. This means that the audit delay of companies audited by the big four KAPs is shorter than that of companies audited by non-big four KAPs.</w:t>
      </w:r>
    </w:p>
    <w:p w14:paraId="74B58EE8" w14:textId="7F25F533" w:rsidR="00AC2B9D" w:rsidRPr="00AC2B9D" w:rsidRDefault="00AC2B9D" w:rsidP="00AC2B9D">
      <w:pPr>
        <w:pStyle w:val="BodyText"/>
        <w:spacing w:line="254" w:lineRule="auto"/>
        <w:ind w:left="142" w:right="38"/>
        <w:jc w:val="both"/>
        <w:rPr>
          <w:b/>
          <w:color w:val="000000" w:themeColor="text1"/>
        </w:rPr>
      </w:pPr>
      <w:r w:rsidRPr="00AC2B9D">
        <w:rPr>
          <w:b/>
          <w:color w:val="000000" w:themeColor="text1"/>
        </w:rPr>
        <w:t>H2: KAP size has a negative effect on audit delay.</w:t>
      </w:r>
    </w:p>
    <w:p w14:paraId="36654A2F" w14:textId="0C12636D" w:rsidR="0008058A" w:rsidRPr="00AC2B9D" w:rsidRDefault="0008058A" w:rsidP="0008058A">
      <w:pPr>
        <w:pStyle w:val="BodyText"/>
        <w:spacing w:line="254" w:lineRule="auto"/>
        <w:ind w:left="142" w:right="38"/>
        <w:jc w:val="both"/>
        <w:rPr>
          <w:b/>
          <w:color w:val="000000" w:themeColor="text1"/>
        </w:rPr>
      </w:pPr>
    </w:p>
    <w:p w14:paraId="387CFC8D" w14:textId="6D1747B7" w:rsidR="00AC2B9D" w:rsidRPr="00AC2B9D" w:rsidRDefault="00AC2B9D" w:rsidP="007B54B5">
      <w:pPr>
        <w:pStyle w:val="BodyText"/>
        <w:spacing w:line="254" w:lineRule="auto"/>
        <w:ind w:left="142" w:right="38" w:firstLine="425"/>
        <w:jc w:val="both"/>
        <w:rPr>
          <w:color w:val="000000" w:themeColor="text1"/>
        </w:rPr>
      </w:pPr>
      <w:r w:rsidRPr="00AC2B9D">
        <w:rPr>
          <w:color w:val="000000" w:themeColor="text1"/>
        </w:rPr>
        <w:t xml:space="preserve">Profitability is the company's ability to earn profits in relation to sales, total assets, and own capital. Companies that have a high level of profitability tend to accelerate the publication of their financial statements because it can increase the value of the company. According to </w:t>
      </w:r>
      <w:r w:rsidR="004D309A">
        <w:rPr>
          <w:color w:val="000000" w:themeColor="text1"/>
        </w:rPr>
        <w:fldChar w:fldCharType="begin" w:fldLock="1"/>
      </w:r>
      <w:r w:rsidR="004D309A">
        <w:rPr>
          <w:color w:val="000000" w:themeColor="text1"/>
        </w:rPr>
        <w:instrText>ADDIN CSL_CITATION {"citationItems":[{"id":"ITEM-1","itemData":{"ISSN":"2502-5430","author":[{"dropping-particle":"","family":"Amani","given":"Fauziyah Althaf","non-dropping-particle":"","parse-names":false,"suffix":""},{"dropping-particle":"","family":"Waluyo","given":"Indarto","non-dropping-particle":"","parse-names":false,"suffix":""}],"container-title":"Nominal: Barometer Riset Akuntansi dan Manajemen","id":"ITEM-1","issue":"1","issued":{"date-parts":[["2016"]]},"page":"135-150","title":"Pengaruh Ukuran Perusahaan, Profitabilitas, Opini Audit, Dan Umur Perusahaan Terhadap Audit Delay (Studi Empiris pada Perusahaan Property dan Real Estate yang Terdaftar di Bursa Efek Indonesia pada Tahun 2012-2014)","type":"article-journal","volume":"5"},"uris":["http://www.mendeley.com/documents/?uuid=fcf537d3-c8c9-4a6a-98d3-346a9a412446"]}],"mendeley":{"formattedCitation":"(Amani &amp; Waluyo, 2016)","manualFormatting":"Amani &amp; Waluyo (2016)","plainTextFormattedCitation":"(Amani &amp; Waluyo, 2016)","previouslyFormattedCitation":"(Amani &amp; Waluyo, 2016)"},"properties":{"noteIndex":0},"schema":"https://github.com/citation-style-language/schema/raw/master/csl-citation.json"}</w:instrText>
      </w:r>
      <w:r w:rsidR="004D309A">
        <w:rPr>
          <w:color w:val="000000" w:themeColor="text1"/>
        </w:rPr>
        <w:fldChar w:fldCharType="separate"/>
      </w:r>
      <w:r w:rsidR="004D309A">
        <w:rPr>
          <w:noProof/>
          <w:color w:val="000000" w:themeColor="text1"/>
        </w:rPr>
        <w:t>Amani &amp; Waluyo (</w:t>
      </w:r>
      <w:r w:rsidR="004D309A" w:rsidRPr="004D309A">
        <w:rPr>
          <w:noProof/>
          <w:color w:val="000000" w:themeColor="text1"/>
        </w:rPr>
        <w:t>2016)</w:t>
      </w:r>
      <w:r w:rsidR="004D309A">
        <w:rPr>
          <w:color w:val="000000" w:themeColor="text1"/>
        </w:rPr>
        <w:fldChar w:fldCharType="end"/>
      </w:r>
      <w:r w:rsidR="004D309A">
        <w:rPr>
          <w:color w:val="000000" w:themeColor="text1"/>
        </w:rPr>
        <w:t xml:space="preserve"> </w:t>
      </w:r>
      <w:r w:rsidRPr="00AC2B9D">
        <w:rPr>
          <w:color w:val="000000" w:themeColor="text1"/>
        </w:rPr>
        <w:t>states that profitability has a significant effect on audit delay. Companies that experience losses tend to need an auditor, in order to start the auditing process later than usual. This shows that the higher the company's profitability.</w:t>
      </w:r>
    </w:p>
    <w:p w14:paraId="1021050E" w14:textId="5DC7EAAB" w:rsidR="00AC2B9D" w:rsidRDefault="00AC2B9D" w:rsidP="0008058A">
      <w:pPr>
        <w:pStyle w:val="BodyText"/>
        <w:spacing w:line="254" w:lineRule="auto"/>
        <w:ind w:left="142" w:right="38"/>
        <w:jc w:val="both"/>
        <w:rPr>
          <w:b/>
          <w:color w:val="000000" w:themeColor="text1"/>
        </w:rPr>
      </w:pPr>
      <w:r w:rsidRPr="00AC2B9D">
        <w:rPr>
          <w:b/>
          <w:color w:val="000000" w:themeColor="text1"/>
        </w:rPr>
        <w:t>H3 : Profitability has a</w:t>
      </w:r>
      <w:r>
        <w:rPr>
          <w:b/>
          <w:color w:val="000000" w:themeColor="text1"/>
        </w:rPr>
        <w:t xml:space="preserve"> negative effect on audit delay</w:t>
      </w:r>
    </w:p>
    <w:p w14:paraId="5982931D" w14:textId="2AB55241" w:rsidR="00AC2B9D" w:rsidRPr="00AC2B9D" w:rsidRDefault="00AC2B9D" w:rsidP="0008058A">
      <w:pPr>
        <w:pStyle w:val="BodyText"/>
        <w:spacing w:line="254" w:lineRule="auto"/>
        <w:ind w:left="142" w:right="38"/>
        <w:jc w:val="both"/>
        <w:rPr>
          <w:color w:val="000000" w:themeColor="text1"/>
        </w:rPr>
      </w:pPr>
    </w:p>
    <w:p w14:paraId="0921637B" w14:textId="1A2D0A4D" w:rsidR="00AC2B9D" w:rsidRDefault="00AC2B9D" w:rsidP="007B54B5">
      <w:pPr>
        <w:pStyle w:val="BodyText"/>
        <w:spacing w:line="254" w:lineRule="auto"/>
        <w:ind w:left="142" w:right="38" w:firstLine="425"/>
        <w:jc w:val="both"/>
        <w:rPr>
          <w:color w:val="000000" w:themeColor="text1"/>
        </w:rPr>
      </w:pPr>
      <w:r w:rsidRPr="00AC2B9D">
        <w:rPr>
          <w:color w:val="000000" w:themeColor="text1"/>
        </w:rPr>
        <w:t>The size of the business is large, the audit delay tends to be short because the bigger the company, the company has a good internal control system so that it can reduce the error rate of financial statements, making it easier for auditors to audit financial statements. The size of KAPs that include the big four KAPs tend to present audits faster than non-big four KAPs because they have a good name that must be at stake. The higher the profitability, the audit delay tends to be short because high profitability is good news so the company will not delay in publishing the company's financial statements.</w:t>
      </w:r>
    </w:p>
    <w:p w14:paraId="4CF0F4E1" w14:textId="5AC06354" w:rsidR="00AC2B9D" w:rsidRPr="00AC2B9D" w:rsidRDefault="00AC2B9D" w:rsidP="00AC2B9D">
      <w:pPr>
        <w:pStyle w:val="BodyText"/>
        <w:spacing w:line="254" w:lineRule="auto"/>
        <w:ind w:left="567" w:right="38" w:hanging="425"/>
        <w:jc w:val="both"/>
        <w:rPr>
          <w:b/>
          <w:color w:val="000000" w:themeColor="text1"/>
        </w:rPr>
      </w:pPr>
      <w:r w:rsidRPr="00AC2B9D">
        <w:rPr>
          <w:b/>
          <w:color w:val="000000" w:themeColor="text1"/>
        </w:rPr>
        <w:t>H4 : Firm size, KAP size, and profitability simultaneously have an effect on audit delay.</w:t>
      </w:r>
    </w:p>
    <w:p w14:paraId="6DD66B4E" w14:textId="25AABFF7" w:rsidR="0008058A" w:rsidRDefault="0008058A" w:rsidP="0008058A">
      <w:pPr>
        <w:pStyle w:val="BodyText"/>
        <w:spacing w:line="254" w:lineRule="auto"/>
        <w:ind w:left="142" w:right="38"/>
        <w:jc w:val="both"/>
        <w:rPr>
          <w:b/>
          <w:color w:val="000000" w:themeColor="text1"/>
          <w:sz w:val="22"/>
          <w:szCs w:val="22"/>
        </w:rPr>
      </w:pPr>
    </w:p>
    <w:p w14:paraId="7EA669E0" w14:textId="1007597F" w:rsidR="00AF331A" w:rsidRDefault="0038116D" w:rsidP="00AF331A">
      <w:pPr>
        <w:pStyle w:val="Heading1"/>
        <w:tabs>
          <w:tab w:val="left" w:pos="-7938"/>
        </w:tabs>
        <w:spacing w:before="1" w:line="288" w:lineRule="auto"/>
        <w:ind w:left="0" w:right="636" w:firstLine="0"/>
        <w:jc w:val="center"/>
        <w:rPr>
          <w:color w:val="000000" w:themeColor="text1"/>
          <w:lang w:val="id-ID"/>
        </w:rPr>
      </w:pPr>
      <w:r>
        <w:rPr>
          <w:color w:val="000000" w:themeColor="text1"/>
          <w:lang w:val="id-ID"/>
        </w:rPr>
        <w:t>3</w:t>
      </w:r>
      <w:r w:rsidR="00AF331A">
        <w:rPr>
          <w:color w:val="000000" w:themeColor="text1"/>
          <w:lang w:val="id-ID"/>
        </w:rPr>
        <w:t xml:space="preserve">. </w:t>
      </w:r>
      <w:r>
        <w:rPr>
          <w:color w:val="000000" w:themeColor="text1"/>
          <w:lang w:val="id-ID"/>
        </w:rPr>
        <w:t>METHODS</w:t>
      </w:r>
    </w:p>
    <w:p w14:paraId="53D2A606" w14:textId="77777777" w:rsidR="00444C89" w:rsidRDefault="00444C89" w:rsidP="00444C89">
      <w:pPr>
        <w:pStyle w:val="BodyText"/>
        <w:spacing w:line="254" w:lineRule="auto"/>
        <w:ind w:right="38" w:firstLine="453"/>
        <w:jc w:val="both"/>
        <w:rPr>
          <w:color w:val="000000" w:themeColor="text1"/>
          <w:lang w:val="id-ID"/>
        </w:rPr>
      </w:pPr>
      <w:r w:rsidRPr="00444C89">
        <w:rPr>
          <w:color w:val="000000" w:themeColor="text1"/>
          <w:lang w:val="id-ID"/>
        </w:rPr>
        <w:t>This study uses secondary data. Secondary data is data obtained in a ready-made form, has been collected and has been processed by other parties, usually in the form of publications.</w:t>
      </w:r>
      <w:r>
        <w:rPr>
          <w:color w:val="000000" w:themeColor="text1"/>
        </w:rPr>
        <w:t xml:space="preserve"> </w:t>
      </w:r>
      <w:r w:rsidRPr="00444C89">
        <w:rPr>
          <w:color w:val="000000" w:themeColor="text1"/>
          <w:lang w:val="id-ID"/>
        </w:rPr>
        <w:t>The data used in this study is secondary data in the form of audited financial statements and listed on the Indonesia Stock Exchange. The data was obtained f</w:t>
      </w:r>
      <w:r>
        <w:rPr>
          <w:color w:val="000000" w:themeColor="text1"/>
          <w:lang w:val="id-ID"/>
        </w:rPr>
        <w:t>rom www.idx.co.id in 2016-2019.</w:t>
      </w:r>
    </w:p>
    <w:p w14:paraId="7299C2E9" w14:textId="425569E0" w:rsidR="00444C89" w:rsidRDefault="00444C89" w:rsidP="00444C89">
      <w:pPr>
        <w:pStyle w:val="BodyText"/>
        <w:spacing w:line="254" w:lineRule="auto"/>
        <w:ind w:right="38" w:firstLine="453"/>
        <w:jc w:val="both"/>
        <w:rPr>
          <w:color w:val="000000" w:themeColor="text1"/>
          <w:lang w:val="id-ID"/>
        </w:rPr>
      </w:pPr>
      <w:r w:rsidRPr="00444C89">
        <w:rPr>
          <w:color w:val="000000" w:themeColor="text1"/>
          <w:lang w:val="id-ID"/>
        </w:rPr>
        <w:t>The population used in this study are companies listed on the 2016-2019 LQ-45 Index which are listed on the Indonesia Stock Exchange. According to</w:t>
      </w:r>
      <w:r w:rsidR="004D309A">
        <w:rPr>
          <w:color w:val="000000" w:themeColor="text1"/>
        </w:rPr>
        <w:t xml:space="preserve"> </w:t>
      </w:r>
      <w:r w:rsidR="004D309A">
        <w:rPr>
          <w:color w:val="000000" w:themeColor="text1"/>
        </w:rPr>
        <w:fldChar w:fldCharType="begin" w:fldLock="1"/>
      </w:r>
      <w:r w:rsidR="00154B3D">
        <w:rPr>
          <w:color w:val="000000" w:themeColor="text1"/>
        </w:rPr>
        <w:instrText>ADDIN CSL_CITATION {"citationItems":[{"id":"ITEM-1","itemData":{"author":[{"dropping-particle":"","family":"Sugiyono","given":"","non-dropping-particle":"","parse-names":false,"suffix":""}],"id":"ITEM-1","issued":{"date-parts":[["2016"]]},"publisher":"Alfabeta","publisher-place":"Bandung","title":"Metode Penelitian Bisnis","type":"book"},"uris":["http://www.mendeley.com/documents/?uuid=8ee5126c-0e73-4d3d-a832-a9b38dcae6e2"]}],"mendeley":{"formattedCitation":"(Sugiyono, 2016)","manualFormatting":"Sugiyono (2016)","plainTextFormattedCitation":"(Sugiyono, 2016)","previouslyFormattedCitation":"(Sugiyono, 2016)"},"properties":{"noteIndex":0},"schema":"https://github.com/citation-style-language/schema/raw/master/csl-citation.json"}</w:instrText>
      </w:r>
      <w:r w:rsidR="004D309A">
        <w:rPr>
          <w:color w:val="000000" w:themeColor="text1"/>
        </w:rPr>
        <w:fldChar w:fldCharType="separate"/>
      </w:r>
      <w:r w:rsidR="004D309A">
        <w:rPr>
          <w:noProof/>
          <w:color w:val="000000" w:themeColor="text1"/>
        </w:rPr>
        <w:t>Sugiyono (</w:t>
      </w:r>
      <w:r w:rsidR="004D309A" w:rsidRPr="004D309A">
        <w:rPr>
          <w:noProof/>
          <w:color w:val="000000" w:themeColor="text1"/>
        </w:rPr>
        <w:t>2016)</w:t>
      </w:r>
      <w:r w:rsidR="004D309A">
        <w:rPr>
          <w:color w:val="000000" w:themeColor="text1"/>
        </w:rPr>
        <w:fldChar w:fldCharType="end"/>
      </w:r>
      <w:r w:rsidRPr="00444C89">
        <w:rPr>
          <w:color w:val="000000" w:themeColor="text1"/>
          <w:lang w:val="id-ID"/>
        </w:rPr>
        <w:t xml:space="preserve">, population is a generalization area consisting of objects/subjects that have </w:t>
      </w:r>
      <w:r w:rsidRPr="00444C89">
        <w:rPr>
          <w:color w:val="000000" w:themeColor="text1"/>
          <w:lang w:val="id-ID"/>
        </w:rPr>
        <w:lastRenderedPageBreak/>
        <w:t xml:space="preserve">certain qualities and characteristics that are determined to be studied </w:t>
      </w:r>
      <w:r>
        <w:rPr>
          <w:color w:val="000000" w:themeColor="text1"/>
          <w:lang w:val="id-ID"/>
        </w:rPr>
        <w:t>and then conclusions are drawn.</w:t>
      </w:r>
      <w:r>
        <w:rPr>
          <w:color w:val="000000" w:themeColor="text1"/>
        </w:rPr>
        <w:t xml:space="preserve"> </w:t>
      </w:r>
      <w:r w:rsidRPr="00444C89">
        <w:rPr>
          <w:color w:val="000000" w:themeColor="text1"/>
          <w:lang w:val="id-ID"/>
        </w:rPr>
        <w:t>The sampling technique used in this research is purposive sampling, which means that the research sample meets certain sample criteria as desired by the researcher. Purposive sampling is a sampling technique with certain criteria where the sample is deliberately selected to represent the population. These criteria are as follows:</w:t>
      </w:r>
    </w:p>
    <w:p w14:paraId="07886973" w14:textId="5841CB4D" w:rsidR="00444C89" w:rsidRPr="00444C89" w:rsidRDefault="00444C89" w:rsidP="00E512A2">
      <w:pPr>
        <w:pStyle w:val="BodyText"/>
        <w:numPr>
          <w:ilvl w:val="1"/>
          <w:numId w:val="10"/>
        </w:numPr>
        <w:spacing w:line="254" w:lineRule="auto"/>
        <w:ind w:left="426" w:right="38" w:hanging="284"/>
        <w:jc w:val="both"/>
        <w:rPr>
          <w:color w:val="000000" w:themeColor="text1"/>
          <w:lang w:val="id-ID"/>
        </w:rPr>
      </w:pPr>
      <w:r w:rsidRPr="00444C89">
        <w:rPr>
          <w:color w:val="000000" w:themeColor="text1"/>
          <w:lang w:val="id-ID"/>
        </w:rPr>
        <w:t>Companies classified as LQ 45 in a row from 2016 to 2019.</w:t>
      </w:r>
    </w:p>
    <w:p w14:paraId="17421C46" w14:textId="6F213FCE" w:rsidR="00444C89" w:rsidRPr="00444C89" w:rsidRDefault="00444C89" w:rsidP="00E512A2">
      <w:pPr>
        <w:pStyle w:val="BodyText"/>
        <w:numPr>
          <w:ilvl w:val="1"/>
          <w:numId w:val="10"/>
        </w:numPr>
        <w:spacing w:line="254" w:lineRule="auto"/>
        <w:ind w:left="426" w:right="38" w:hanging="284"/>
        <w:jc w:val="both"/>
        <w:rPr>
          <w:color w:val="000000" w:themeColor="text1"/>
          <w:lang w:val="id-ID"/>
        </w:rPr>
      </w:pPr>
      <w:r w:rsidRPr="00444C89">
        <w:rPr>
          <w:color w:val="000000" w:themeColor="text1"/>
          <w:lang w:val="id-ID"/>
        </w:rPr>
        <w:t>Does not have an independent auditor's report in the financial statements for the 2016-2019 period.</w:t>
      </w:r>
    </w:p>
    <w:p w14:paraId="53319522" w14:textId="6999C52F" w:rsidR="00444C89" w:rsidRDefault="00444C89" w:rsidP="00E512A2">
      <w:pPr>
        <w:pStyle w:val="BodyText"/>
        <w:numPr>
          <w:ilvl w:val="1"/>
          <w:numId w:val="10"/>
        </w:numPr>
        <w:spacing w:line="254" w:lineRule="auto"/>
        <w:ind w:left="426" w:right="38" w:hanging="284"/>
        <w:jc w:val="both"/>
        <w:rPr>
          <w:color w:val="000000" w:themeColor="text1"/>
          <w:lang w:val="id-ID"/>
        </w:rPr>
      </w:pPr>
      <w:r w:rsidRPr="00444C89">
        <w:rPr>
          <w:color w:val="000000" w:themeColor="text1"/>
          <w:lang w:val="id-ID"/>
        </w:rPr>
        <w:t>Does not include banking companies.</w:t>
      </w:r>
    </w:p>
    <w:p w14:paraId="5E5CFE7E" w14:textId="353BE737" w:rsidR="00444C89" w:rsidRDefault="00444C89" w:rsidP="0038116D">
      <w:pPr>
        <w:pStyle w:val="BodyText"/>
        <w:spacing w:line="254" w:lineRule="auto"/>
        <w:ind w:right="38"/>
        <w:jc w:val="both"/>
        <w:rPr>
          <w:color w:val="000000" w:themeColor="text1"/>
          <w:lang w:val="id-ID"/>
        </w:rPr>
      </w:pPr>
    </w:p>
    <w:p w14:paraId="5621E72C" w14:textId="17E814A4" w:rsidR="00813923" w:rsidRDefault="00813923" w:rsidP="007B54B5">
      <w:pPr>
        <w:pStyle w:val="BodyText"/>
        <w:spacing w:line="254" w:lineRule="auto"/>
        <w:ind w:right="38" w:firstLine="453"/>
        <w:jc w:val="both"/>
        <w:rPr>
          <w:color w:val="000000" w:themeColor="text1"/>
          <w:lang w:val="id-ID"/>
        </w:rPr>
      </w:pPr>
      <w:r w:rsidRPr="00813923">
        <w:rPr>
          <w:color w:val="000000" w:themeColor="text1"/>
          <w:lang w:val="id-ID"/>
        </w:rPr>
        <w:t>In this study the authors used descriptive statistical analysis techniques, classical assumptions, multiple linear regression analysis, coefficient of determ</w:t>
      </w:r>
      <w:r>
        <w:rPr>
          <w:color w:val="000000" w:themeColor="text1"/>
          <w:lang w:val="id-ID"/>
        </w:rPr>
        <w:t>ination and hypothesis testing.</w:t>
      </w:r>
      <w:r>
        <w:rPr>
          <w:color w:val="000000" w:themeColor="text1"/>
        </w:rPr>
        <w:t xml:space="preserve"> </w:t>
      </w:r>
      <w:r w:rsidRPr="00813923">
        <w:rPr>
          <w:color w:val="000000" w:themeColor="text1"/>
          <w:lang w:val="id-ID"/>
        </w:rPr>
        <w:t>Multiple linear regression analysis, which is a statistical method commonly used to examine the relationship between a dependent variable and several independent variables. The regression model used is as follows;</w:t>
      </w:r>
    </w:p>
    <w:p w14:paraId="137260A0" w14:textId="77777777" w:rsidR="00813923" w:rsidRDefault="00813923" w:rsidP="0038116D">
      <w:pPr>
        <w:pStyle w:val="BodyText"/>
        <w:spacing w:line="254" w:lineRule="auto"/>
        <w:ind w:right="38"/>
        <w:jc w:val="both"/>
        <w:rPr>
          <w:color w:val="000000" w:themeColor="text1"/>
          <w:lang w:val="id-ID"/>
        </w:rPr>
      </w:pPr>
    </w:p>
    <w:p w14:paraId="5CAB7A35" w14:textId="225E8425" w:rsidR="00B80966" w:rsidRPr="00EE783F" w:rsidRDefault="00813923" w:rsidP="0038116D">
      <w:pPr>
        <w:pStyle w:val="BodyText"/>
        <w:spacing w:line="254" w:lineRule="auto"/>
        <w:ind w:right="38"/>
        <w:jc w:val="both"/>
        <w:rPr>
          <w:b/>
          <w:lang w:val="id-ID"/>
        </w:rPr>
      </w:pPr>
      <m:oMathPara>
        <m:oMath>
          <m:r>
            <m:rPr>
              <m:sty m:val="bi"/>
            </m:rPr>
            <w:rPr>
              <w:rFonts w:ascii="Cambria Math" w:hAnsi="Cambria Math"/>
            </w:rPr>
            <m:t>Y=</m:t>
          </m:r>
          <m:sSub>
            <m:sSubPr>
              <m:ctrlPr>
                <w:rPr>
                  <w:rFonts w:ascii="Cambria Math" w:hAnsi="Cambria Math"/>
                  <w:b/>
                  <w:bCs/>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r>
            <m:rPr>
              <m:sty m:val="bi"/>
            </m:rPr>
            <w:rPr>
              <w:rFonts w:ascii="Cambria Math" w:hAnsi="Cambria Math"/>
            </w:rPr>
            <m:t>X</m:t>
          </m:r>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r>
            <m:rPr>
              <m:sty m:val="bi"/>
            </m:rPr>
            <w:rPr>
              <w:rFonts w:ascii="Cambria Math" w:hAnsi="Cambria Math"/>
            </w:rPr>
            <m:t>X</m:t>
          </m:r>
          <m:r>
            <m:rPr>
              <m:sty m:val="bi"/>
            </m:rPr>
            <w:rPr>
              <w:rFonts w:ascii="Cambria Math" w:hAnsi="Cambria Math"/>
            </w:rPr>
            <m:t>2+</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r>
            <m:rPr>
              <m:sty m:val="bi"/>
            </m:rPr>
            <w:rPr>
              <w:rFonts w:ascii="Cambria Math" w:hAnsi="Cambria Math"/>
            </w:rPr>
            <m:t>X</m:t>
          </m:r>
          <m:r>
            <m:rPr>
              <m:sty m:val="bi"/>
            </m:rPr>
            <w:rPr>
              <w:rFonts w:ascii="Cambria Math" w:hAnsi="Cambria Math"/>
            </w:rPr>
            <m:t>3+ε</m:t>
          </m:r>
        </m:oMath>
      </m:oMathPara>
    </w:p>
    <w:p w14:paraId="4AEC018A" w14:textId="77777777" w:rsidR="00B80966" w:rsidRPr="00B80966" w:rsidRDefault="00B80966" w:rsidP="00B80966">
      <w:pPr>
        <w:pStyle w:val="BodyText"/>
        <w:spacing w:line="254" w:lineRule="auto"/>
        <w:ind w:right="38"/>
        <w:jc w:val="both"/>
        <w:rPr>
          <w:lang w:val="id-ID"/>
        </w:rPr>
      </w:pPr>
      <w:r w:rsidRPr="00B80966">
        <w:rPr>
          <w:lang w:val="id-ID"/>
        </w:rPr>
        <w:t>Information:</w:t>
      </w:r>
    </w:p>
    <w:p w14:paraId="5B03EAD1" w14:textId="5899E95C" w:rsidR="00B80966" w:rsidRPr="00B80966" w:rsidRDefault="00813923" w:rsidP="00B80966">
      <w:pPr>
        <w:pStyle w:val="BodyText"/>
        <w:spacing w:line="254" w:lineRule="auto"/>
        <w:ind w:right="38"/>
        <w:jc w:val="both"/>
        <w:rPr>
          <w:lang w:val="id-ID"/>
        </w:rPr>
      </w:pPr>
      <w:r>
        <w:t>Y</w:t>
      </w:r>
      <w:r w:rsidR="00B80966" w:rsidRPr="00B80966">
        <w:rPr>
          <w:lang w:val="id-ID"/>
        </w:rPr>
        <w:t xml:space="preserve"> </w:t>
      </w:r>
      <w:r w:rsidR="009072C3">
        <w:rPr>
          <w:lang w:val="id-ID"/>
        </w:rPr>
        <w:tab/>
      </w:r>
      <w:r w:rsidR="00B80966" w:rsidRPr="00B80966">
        <w:rPr>
          <w:lang w:val="id-ID"/>
        </w:rPr>
        <w:t xml:space="preserve">= </w:t>
      </w:r>
      <w:r w:rsidR="009171FA" w:rsidRPr="009171FA">
        <w:rPr>
          <w:lang w:val="id-ID"/>
        </w:rPr>
        <w:t>Audit Delay</w:t>
      </w:r>
    </w:p>
    <w:p w14:paraId="40542C0B" w14:textId="660F5912" w:rsidR="00B80966" w:rsidRPr="00B80966" w:rsidRDefault="005835D9" w:rsidP="00B80966">
      <w:pPr>
        <w:pStyle w:val="BodyText"/>
        <w:spacing w:line="254" w:lineRule="auto"/>
        <w:ind w:right="38"/>
        <w:jc w:val="both"/>
        <w:rPr>
          <w:lang w:val="id-ID"/>
        </w:rPr>
      </w:pPr>
      <m:oMath>
        <m:sSub>
          <m:sSubPr>
            <m:ctrlPr>
              <w:rPr>
                <w:rFonts w:ascii="Cambria Math" w:hAnsi="Cambria Math"/>
                <w:bCs/>
                <w:sz w:val="24"/>
                <w:szCs w:val="24"/>
              </w:rPr>
            </m:ctrlPr>
          </m:sSubPr>
          <m:e>
            <m:r>
              <w:rPr>
                <w:rFonts w:ascii="Cambria Math" w:hAnsi="Cambria Math"/>
                <w:sz w:val="24"/>
                <w:szCs w:val="24"/>
              </w:rPr>
              <m:t>β</m:t>
            </m:r>
          </m:e>
          <m:sub>
            <m:r>
              <w:rPr>
                <w:rFonts w:ascii="Cambria Math" w:hAnsi="Cambria Math"/>
                <w:sz w:val="24"/>
                <w:szCs w:val="24"/>
              </w:rPr>
              <m:t>0</m:t>
            </m:r>
          </m:sub>
        </m:sSub>
      </m:oMath>
      <w:r w:rsidR="00B80966" w:rsidRPr="00B80966">
        <w:rPr>
          <w:lang w:val="id-ID"/>
        </w:rPr>
        <w:t xml:space="preserve"> </w:t>
      </w:r>
      <w:r w:rsidR="009072C3">
        <w:rPr>
          <w:lang w:val="id-ID"/>
        </w:rPr>
        <w:tab/>
      </w:r>
      <w:r w:rsidR="00B80966" w:rsidRPr="00B80966">
        <w:rPr>
          <w:lang w:val="id-ID"/>
        </w:rPr>
        <w:t>= Constant;</w:t>
      </w:r>
    </w:p>
    <w:p w14:paraId="782A6CD9" w14:textId="0C3E3A5D" w:rsidR="00B80966" w:rsidRPr="00B80966" w:rsidRDefault="009072C3" w:rsidP="00187460">
      <w:pPr>
        <w:pStyle w:val="BodyText"/>
        <w:spacing w:line="254" w:lineRule="auto"/>
        <w:ind w:left="993" w:right="38" w:hanging="879"/>
        <w:jc w:val="both"/>
        <w:rPr>
          <w:lang w:val="id-ID"/>
        </w:rPr>
      </w:pPr>
      <w:r>
        <w:rPr>
          <w:lang w:val="id-ID"/>
        </w:rPr>
        <w:t>β1,β2,β</w:t>
      </w:r>
      <w:r w:rsidR="00B80966" w:rsidRPr="00B80966">
        <w:rPr>
          <w:lang w:val="id-ID"/>
        </w:rPr>
        <w:t>3 = Regression coefficient of each independent variable;</w:t>
      </w:r>
    </w:p>
    <w:p w14:paraId="0E9EAC48" w14:textId="17C74BF2" w:rsidR="00B80966" w:rsidRPr="00B80966" w:rsidRDefault="00813923" w:rsidP="00813923">
      <w:pPr>
        <w:pStyle w:val="BodyText"/>
        <w:spacing w:line="254" w:lineRule="auto"/>
        <w:ind w:left="0" w:right="38" w:firstLine="114"/>
        <w:jc w:val="both"/>
        <w:rPr>
          <w:lang w:val="id-ID"/>
        </w:rPr>
      </w:pPr>
      <w:r>
        <w:t>X1</w:t>
      </w:r>
      <w:r w:rsidR="00B80966" w:rsidRPr="00B80966">
        <w:rPr>
          <w:lang w:val="id-ID"/>
        </w:rPr>
        <w:t xml:space="preserve"> </w:t>
      </w:r>
      <w:r w:rsidR="009072C3">
        <w:rPr>
          <w:lang w:val="id-ID"/>
        </w:rPr>
        <w:tab/>
      </w:r>
      <w:r w:rsidR="009171FA">
        <w:rPr>
          <w:lang w:val="id-ID"/>
        </w:rPr>
        <w:t xml:space="preserve">= </w:t>
      </w:r>
      <w:r w:rsidR="009171FA" w:rsidRPr="009171FA">
        <w:rPr>
          <w:lang w:val="id-ID"/>
        </w:rPr>
        <w:t>Company Size</w:t>
      </w:r>
    </w:p>
    <w:p w14:paraId="78440BC3" w14:textId="149C7EFC" w:rsidR="00B80966" w:rsidRPr="00B80966" w:rsidRDefault="00813923" w:rsidP="00B80966">
      <w:pPr>
        <w:pStyle w:val="BodyText"/>
        <w:spacing w:line="254" w:lineRule="auto"/>
        <w:ind w:right="38"/>
        <w:jc w:val="both"/>
        <w:rPr>
          <w:lang w:val="id-ID"/>
        </w:rPr>
      </w:pPr>
      <w:r>
        <w:t>X2</w:t>
      </w:r>
      <w:r w:rsidR="00B80966" w:rsidRPr="00B80966">
        <w:rPr>
          <w:lang w:val="id-ID"/>
        </w:rPr>
        <w:t xml:space="preserve"> </w:t>
      </w:r>
      <w:r w:rsidR="009072C3">
        <w:rPr>
          <w:lang w:val="id-ID"/>
        </w:rPr>
        <w:tab/>
      </w:r>
      <w:r w:rsidR="009171FA">
        <w:rPr>
          <w:lang w:val="id-ID"/>
        </w:rPr>
        <w:t xml:space="preserve">= </w:t>
      </w:r>
      <w:r w:rsidR="009171FA" w:rsidRPr="009171FA">
        <w:rPr>
          <w:lang w:val="id-ID"/>
        </w:rPr>
        <w:t>KAP Size</w:t>
      </w:r>
    </w:p>
    <w:p w14:paraId="65842E39" w14:textId="37EFAFD8" w:rsidR="00B80966" w:rsidRPr="009171FA" w:rsidRDefault="00813923" w:rsidP="00B80966">
      <w:pPr>
        <w:pStyle w:val="BodyText"/>
        <w:spacing w:line="254" w:lineRule="auto"/>
        <w:ind w:right="38"/>
        <w:jc w:val="both"/>
      </w:pPr>
      <w:r>
        <w:t>X3</w:t>
      </w:r>
      <w:r w:rsidR="00B80966" w:rsidRPr="00B80966">
        <w:rPr>
          <w:lang w:val="id-ID"/>
        </w:rPr>
        <w:t xml:space="preserve"> </w:t>
      </w:r>
      <w:r w:rsidR="009072C3">
        <w:rPr>
          <w:lang w:val="id-ID"/>
        </w:rPr>
        <w:tab/>
      </w:r>
      <w:r w:rsidR="009171FA">
        <w:rPr>
          <w:lang w:val="id-ID"/>
        </w:rPr>
        <w:t xml:space="preserve">= </w:t>
      </w:r>
      <w:r w:rsidR="009171FA" w:rsidRPr="009171FA">
        <w:t>Profitability</w:t>
      </w:r>
    </w:p>
    <w:p w14:paraId="312ECA84" w14:textId="1DB0B160" w:rsidR="00B80966" w:rsidRPr="00B80966" w:rsidRDefault="009072C3" w:rsidP="00B80966">
      <w:pPr>
        <w:pStyle w:val="BodyText"/>
        <w:spacing w:line="254" w:lineRule="auto"/>
        <w:ind w:right="38"/>
        <w:jc w:val="both"/>
        <w:rPr>
          <w:lang w:val="id-ID"/>
        </w:rPr>
      </w:pPr>
      <m:oMath>
        <m:r>
          <w:rPr>
            <w:rFonts w:ascii="Cambria Math" w:hAnsi="Cambria Math"/>
            <w:sz w:val="24"/>
            <w:szCs w:val="24"/>
          </w:rPr>
          <m:t>ε</m:t>
        </m:r>
      </m:oMath>
      <w:r w:rsidRPr="00B80966">
        <w:rPr>
          <w:lang w:val="id-ID"/>
        </w:rPr>
        <w:t xml:space="preserve"> </w:t>
      </w:r>
      <w:r>
        <w:rPr>
          <w:lang w:val="id-ID"/>
        </w:rPr>
        <w:tab/>
      </w:r>
      <w:r w:rsidR="00B80966" w:rsidRPr="00B80966">
        <w:rPr>
          <w:lang w:val="id-ID"/>
        </w:rPr>
        <w:t>= Standard Error</w:t>
      </w:r>
    </w:p>
    <w:p w14:paraId="6B1C02D1" w14:textId="77777777" w:rsidR="00B80966" w:rsidRPr="00B80966" w:rsidRDefault="00B80966" w:rsidP="0038116D">
      <w:pPr>
        <w:pStyle w:val="BodyText"/>
        <w:spacing w:line="254" w:lineRule="auto"/>
        <w:ind w:right="38"/>
        <w:jc w:val="both"/>
        <w:rPr>
          <w:color w:val="000000" w:themeColor="text1"/>
          <w:lang w:val="id-ID"/>
        </w:rPr>
      </w:pPr>
    </w:p>
    <w:p w14:paraId="588AE4ED" w14:textId="18F116B9" w:rsidR="00B80966" w:rsidRDefault="00247E14" w:rsidP="007B54B5">
      <w:pPr>
        <w:pStyle w:val="BodyText"/>
        <w:spacing w:line="254" w:lineRule="auto"/>
        <w:ind w:right="38" w:firstLine="453"/>
        <w:jc w:val="both"/>
        <w:rPr>
          <w:color w:val="000000" w:themeColor="text1"/>
          <w:lang w:val="id-ID"/>
        </w:rPr>
      </w:pPr>
      <w:r w:rsidRPr="00247E14">
        <w:rPr>
          <w:color w:val="000000" w:themeColor="text1"/>
          <w:lang w:val="id-ID"/>
        </w:rPr>
        <w:t>Hypothesis testing was carried out to check the significance of the regression coefficients using the F test (simultaneous) and the Individual Parameter Significance test (partial T test).</w:t>
      </w:r>
    </w:p>
    <w:p w14:paraId="74017EB0" w14:textId="77777777" w:rsidR="00247E14" w:rsidRDefault="00247E14" w:rsidP="0038116D">
      <w:pPr>
        <w:pStyle w:val="BodyText"/>
        <w:spacing w:line="254" w:lineRule="auto"/>
        <w:ind w:right="38"/>
        <w:jc w:val="both"/>
        <w:rPr>
          <w:color w:val="000000" w:themeColor="text1"/>
          <w:lang w:val="id-ID"/>
        </w:rPr>
      </w:pPr>
    </w:p>
    <w:p w14:paraId="78660AB7" w14:textId="77777777" w:rsidR="00247E14" w:rsidRDefault="00247E14" w:rsidP="0038116D">
      <w:pPr>
        <w:pStyle w:val="BodyText"/>
        <w:spacing w:line="254" w:lineRule="auto"/>
        <w:ind w:right="38"/>
        <w:jc w:val="both"/>
        <w:rPr>
          <w:color w:val="000000" w:themeColor="text1"/>
          <w:lang w:val="id-ID"/>
        </w:rPr>
      </w:pPr>
    </w:p>
    <w:p w14:paraId="1ADBF430" w14:textId="182133C8" w:rsidR="00247E14" w:rsidRDefault="0038116D" w:rsidP="00247E14">
      <w:pPr>
        <w:pStyle w:val="Heading1"/>
        <w:tabs>
          <w:tab w:val="left" w:pos="-7938"/>
        </w:tabs>
        <w:spacing w:before="1" w:line="288" w:lineRule="auto"/>
        <w:ind w:left="0" w:right="636" w:firstLine="0"/>
        <w:jc w:val="center"/>
        <w:rPr>
          <w:color w:val="000000" w:themeColor="text1"/>
          <w:lang w:val="id-ID"/>
        </w:rPr>
      </w:pPr>
      <w:r>
        <w:rPr>
          <w:color w:val="000000" w:themeColor="text1"/>
          <w:lang w:val="id-ID"/>
        </w:rPr>
        <w:t>4. RESULTS</w:t>
      </w:r>
    </w:p>
    <w:p w14:paraId="4CCC403E" w14:textId="50E5C40A" w:rsidR="009171FA" w:rsidRDefault="009171FA" w:rsidP="009171FA">
      <w:pPr>
        <w:pStyle w:val="Heading1"/>
        <w:tabs>
          <w:tab w:val="left" w:pos="-7938"/>
        </w:tabs>
        <w:spacing w:before="1" w:line="288" w:lineRule="auto"/>
        <w:ind w:left="0" w:right="636" w:firstLine="0"/>
        <w:jc w:val="both"/>
        <w:rPr>
          <w:color w:val="000000" w:themeColor="text1"/>
          <w:sz w:val="20"/>
          <w:szCs w:val="20"/>
        </w:rPr>
      </w:pPr>
      <w:r w:rsidRPr="009171FA">
        <w:rPr>
          <w:color w:val="000000" w:themeColor="text1"/>
          <w:sz w:val="20"/>
          <w:szCs w:val="20"/>
        </w:rPr>
        <w:t>A. Descriptive Statistical Analysis</w:t>
      </w:r>
    </w:p>
    <w:p w14:paraId="199E93B2" w14:textId="6AF0CB87" w:rsidR="00B7499D" w:rsidRDefault="00B7499D" w:rsidP="007B54B5">
      <w:pPr>
        <w:pStyle w:val="Heading1"/>
        <w:tabs>
          <w:tab w:val="left" w:pos="-7938"/>
        </w:tabs>
        <w:spacing w:before="1" w:line="288" w:lineRule="auto"/>
        <w:ind w:left="0" w:right="636" w:firstLine="426"/>
        <w:jc w:val="both"/>
        <w:rPr>
          <w:b w:val="0"/>
          <w:color w:val="000000" w:themeColor="text1"/>
          <w:sz w:val="20"/>
          <w:szCs w:val="20"/>
        </w:rPr>
      </w:pPr>
      <w:r w:rsidRPr="00B7499D">
        <w:rPr>
          <w:b w:val="0"/>
          <w:color w:val="000000" w:themeColor="text1"/>
          <w:sz w:val="20"/>
          <w:szCs w:val="20"/>
        </w:rPr>
        <w:t>The results of descriptive statistics show the minimum (min), maximum (max), average (mean), and standard deviation of each variable, both dependent and independent variables.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64"/>
        <w:gridCol w:w="564"/>
        <w:gridCol w:w="90"/>
        <w:gridCol w:w="581"/>
        <w:gridCol w:w="252"/>
        <w:gridCol w:w="563"/>
        <w:gridCol w:w="231"/>
        <w:gridCol w:w="628"/>
        <w:gridCol w:w="459"/>
        <w:gridCol w:w="285"/>
        <w:gridCol w:w="863"/>
      </w:tblGrid>
      <w:tr w:rsidR="00B7499D" w:rsidRPr="00B7499D" w14:paraId="669B1378" w14:textId="77777777" w:rsidTr="00B7499D">
        <w:trPr>
          <w:cantSplit/>
        </w:trPr>
        <w:tc>
          <w:tcPr>
            <w:tcW w:w="5000" w:type="pct"/>
            <w:gridSpan w:val="11"/>
            <w:tcBorders>
              <w:top w:val="nil"/>
              <w:left w:val="nil"/>
              <w:bottom w:val="nil"/>
              <w:right w:val="nil"/>
            </w:tcBorders>
            <w:shd w:val="clear" w:color="auto" w:fill="auto"/>
            <w:vAlign w:val="center"/>
          </w:tcPr>
          <w:p w14:paraId="52717B7C" w14:textId="2B8A721B" w:rsidR="00B7499D" w:rsidRPr="00B7499D" w:rsidRDefault="00B7499D" w:rsidP="00132145">
            <w:pPr>
              <w:pStyle w:val="Heading1"/>
              <w:tabs>
                <w:tab w:val="left" w:pos="-7938"/>
              </w:tabs>
              <w:spacing w:before="1"/>
              <w:ind w:left="0" w:right="636" w:firstLine="0"/>
              <w:jc w:val="center"/>
              <w:rPr>
                <w:color w:val="000000" w:themeColor="text1"/>
                <w:sz w:val="20"/>
                <w:szCs w:val="20"/>
              </w:rPr>
            </w:pPr>
            <w:r w:rsidRPr="00B7499D">
              <w:rPr>
                <w:color w:val="000000" w:themeColor="text1"/>
                <w:sz w:val="20"/>
                <w:szCs w:val="20"/>
              </w:rPr>
              <w:t xml:space="preserve">Table 1. </w:t>
            </w:r>
            <w:r w:rsidRPr="00B7499D">
              <w:rPr>
                <w:rFonts w:ascii="Arial" w:hAnsi="Arial" w:cs="Arial"/>
                <w:bCs w:val="0"/>
                <w:sz w:val="16"/>
                <w:szCs w:val="16"/>
              </w:rPr>
              <w:t>Descriptive Statistics</w:t>
            </w:r>
          </w:p>
        </w:tc>
      </w:tr>
      <w:tr w:rsidR="004D309A" w:rsidRPr="00B7499D" w14:paraId="31524204" w14:textId="77777777" w:rsidTr="004D309A">
        <w:trPr>
          <w:cantSplit/>
        </w:trPr>
        <w:tc>
          <w:tcPr>
            <w:tcW w:w="1200" w:type="pct"/>
            <w:gridSpan w:val="3"/>
            <w:tcBorders>
              <w:top w:val="single" w:sz="18" w:space="0" w:color="auto"/>
              <w:left w:val="single" w:sz="18" w:space="0" w:color="auto"/>
              <w:bottom w:val="single" w:sz="18" w:space="0" w:color="auto"/>
              <w:right w:val="single" w:sz="18" w:space="0" w:color="auto"/>
            </w:tcBorders>
            <w:shd w:val="clear" w:color="auto" w:fill="auto"/>
            <w:vAlign w:val="bottom"/>
          </w:tcPr>
          <w:p w14:paraId="6646D11C" w14:textId="77777777" w:rsidR="00B7499D" w:rsidRPr="00B7499D" w:rsidRDefault="00B7499D" w:rsidP="00132145">
            <w:pPr>
              <w:adjustRightInd w:val="0"/>
              <w:rPr>
                <w:rFonts w:ascii="Arial" w:hAnsi="Arial" w:cs="Arial"/>
                <w:sz w:val="16"/>
                <w:szCs w:val="16"/>
              </w:rPr>
            </w:pPr>
          </w:p>
        </w:tc>
        <w:tc>
          <w:tcPr>
            <w:tcW w:w="572" w:type="pct"/>
            <w:tcBorders>
              <w:top w:val="single" w:sz="18" w:space="0" w:color="auto"/>
              <w:left w:val="single" w:sz="18" w:space="0" w:color="auto"/>
              <w:bottom w:val="single" w:sz="18" w:space="0" w:color="auto"/>
              <w:right w:val="single" w:sz="18" w:space="0" w:color="auto"/>
            </w:tcBorders>
            <w:shd w:val="clear" w:color="auto" w:fill="auto"/>
            <w:vAlign w:val="bottom"/>
          </w:tcPr>
          <w:p w14:paraId="45D11C4D"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N</w:t>
            </w:r>
          </w:p>
        </w:tc>
        <w:tc>
          <w:tcPr>
            <w:tcW w:w="802"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02379CDA"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Minimum</w:t>
            </w:r>
          </w:p>
        </w:tc>
        <w:tc>
          <w:tcPr>
            <w:tcW w:w="845"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2A8919BC"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Maximum</w:t>
            </w:r>
          </w:p>
        </w:tc>
        <w:tc>
          <w:tcPr>
            <w:tcW w:w="732"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68AD0029"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Mean</w:t>
            </w:r>
          </w:p>
        </w:tc>
        <w:tc>
          <w:tcPr>
            <w:tcW w:w="848" w:type="pct"/>
            <w:tcBorders>
              <w:top w:val="single" w:sz="18" w:space="0" w:color="auto"/>
              <w:left w:val="single" w:sz="18" w:space="0" w:color="auto"/>
              <w:bottom w:val="single" w:sz="18" w:space="0" w:color="auto"/>
              <w:right w:val="single" w:sz="18" w:space="0" w:color="auto"/>
            </w:tcBorders>
            <w:shd w:val="clear" w:color="auto" w:fill="auto"/>
            <w:vAlign w:val="bottom"/>
          </w:tcPr>
          <w:p w14:paraId="4FEC24F2"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Std. Deviation</w:t>
            </w:r>
          </w:p>
        </w:tc>
      </w:tr>
      <w:tr w:rsidR="004D309A" w:rsidRPr="00B7499D" w14:paraId="2CD2658E" w14:textId="77777777" w:rsidTr="004D309A">
        <w:trPr>
          <w:cantSplit/>
        </w:trPr>
        <w:tc>
          <w:tcPr>
            <w:tcW w:w="1200" w:type="pct"/>
            <w:gridSpan w:val="3"/>
            <w:tcBorders>
              <w:top w:val="single" w:sz="18" w:space="0" w:color="auto"/>
              <w:left w:val="single" w:sz="18" w:space="0" w:color="auto"/>
              <w:bottom w:val="single" w:sz="8" w:space="0" w:color="AEAEAE"/>
              <w:right w:val="single" w:sz="18" w:space="0" w:color="auto"/>
            </w:tcBorders>
            <w:shd w:val="clear" w:color="auto" w:fill="auto"/>
          </w:tcPr>
          <w:p w14:paraId="3BBB4EB9" w14:textId="00F29AAA"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Company Size</w:t>
            </w:r>
          </w:p>
        </w:tc>
        <w:tc>
          <w:tcPr>
            <w:tcW w:w="572" w:type="pct"/>
            <w:tcBorders>
              <w:top w:val="single" w:sz="18" w:space="0" w:color="auto"/>
              <w:left w:val="single" w:sz="18" w:space="0" w:color="auto"/>
              <w:bottom w:val="single" w:sz="8" w:space="0" w:color="AEAEAE"/>
              <w:right w:val="single" w:sz="18" w:space="0" w:color="auto"/>
            </w:tcBorders>
            <w:shd w:val="clear" w:color="auto" w:fill="auto"/>
          </w:tcPr>
          <w:p w14:paraId="1BC7DCAF"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68</w:t>
            </w:r>
          </w:p>
        </w:tc>
        <w:tc>
          <w:tcPr>
            <w:tcW w:w="802" w:type="pct"/>
            <w:gridSpan w:val="2"/>
            <w:tcBorders>
              <w:top w:val="single" w:sz="18" w:space="0" w:color="auto"/>
              <w:left w:val="single" w:sz="18" w:space="0" w:color="auto"/>
              <w:bottom w:val="single" w:sz="8" w:space="0" w:color="AEAEAE"/>
              <w:right w:val="single" w:sz="18" w:space="0" w:color="auto"/>
            </w:tcBorders>
            <w:shd w:val="clear" w:color="auto" w:fill="auto"/>
          </w:tcPr>
          <w:p w14:paraId="5D69F85E"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5,57</w:t>
            </w:r>
          </w:p>
        </w:tc>
        <w:tc>
          <w:tcPr>
            <w:tcW w:w="845" w:type="pct"/>
            <w:gridSpan w:val="2"/>
            <w:tcBorders>
              <w:top w:val="single" w:sz="18" w:space="0" w:color="auto"/>
              <w:left w:val="single" w:sz="18" w:space="0" w:color="auto"/>
              <w:bottom w:val="single" w:sz="8" w:space="0" w:color="AEAEAE"/>
              <w:right w:val="single" w:sz="18" w:space="0" w:color="auto"/>
            </w:tcBorders>
            <w:shd w:val="clear" w:color="auto" w:fill="auto"/>
          </w:tcPr>
          <w:p w14:paraId="456A2356"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21,17</w:t>
            </w:r>
          </w:p>
        </w:tc>
        <w:tc>
          <w:tcPr>
            <w:tcW w:w="732" w:type="pct"/>
            <w:gridSpan w:val="2"/>
            <w:tcBorders>
              <w:top w:val="single" w:sz="18" w:space="0" w:color="auto"/>
              <w:left w:val="single" w:sz="18" w:space="0" w:color="auto"/>
              <w:bottom w:val="single" w:sz="8" w:space="0" w:color="AEAEAE"/>
              <w:right w:val="single" w:sz="18" w:space="0" w:color="auto"/>
            </w:tcBorders>
            <w:shd w:val="clear" w:color="auto" w:fill="auto"/>
          </w:tcPr>
          <w:p w14:paraId="13DA7762"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16,2137</w:t>
            </w:r>
          </w:p>
        </w:tc>
        <w:tc>
          <w:tcPr>
            <w:tcW w:w="848" w:type="pct"/>
            <w:tcBorders>
              <w:top w:val="single" w:sz="18" w:space="0" w:color="auto"/>
              <w:left w:val="single" w:sz="18" w:space="0" w:color="auto"/>
              <w:bottom w:val="single" w:sz="8" w:space="0" w:color="AEAEAE"/>
              <w:right w:val="single" w:sz="18" w:space="0" w:color="auto"/>
            </w:tcBorders>
            <w:shd w:val="clear" w:color="auto" w:fill="auto"/>
          </w:tcPr>
          <w:p w14:paraId="3F22959C"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2,73662</w:t>
            </w:r>
          </w:p>
        </w:tc>
      </w:tr>
      <w:tr w:rsidR="004D309A" w:rsidRPr="00B7499D" w14:paraId="78239FD8" w14:textId="77777777" w:rsidTr="004D309A">
        <w:trPr>
          <w:cantSplit/>
        </w:trPr>
        <w:tc>
          <w:tcPr>
            <w:tcW w:w="1200" w:type="pct"/>
            <w:gridSpan w:val="3"/>
            <w:tcBorders>
              <w:top w:val="single" w:sz="8" w:space="0" w:color="AEAEAE"/>
              <w:left w:val="single" w:sz="18" w:space="0" w:color="auto"/>
              <w:bottom w:val="single" w:sz="8" w:space="0" w:color="AEAEAE"/>
              <w:right w:val="single" w:sz="18" w:space="0" w:color="auto"/>
            </w:tcBorders>
            <w:shd w:val="clear" w:color="auto" w:fill="auto"/>
          </w:tcPr>
          <w:p w14:paraId="1E8EB0EF" w14:textId="3A03D73F"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Profitability</w:t>
            </w:r>
          </w:p>
        </w:tc>
        <w:tc>
          <w:tcPr>
            <w:tcW w:w="572" w:type="pct"/>
            <w:tcBorders>
              <w:top w:val="single" w:sz="8" w:space="0" w:color="AEAEAE"/>
              <w:left w:val="single" w:sz="18" w:space="0" w:color="auto"/>
              <w:bottom w:val="single" w:sz="8" w:space="0" w:color="AEAEAE"/>
              <w:right w:val="single" w:sz="18" w:space="0" w:color="auto"/>
            </w:tcBorders>
            <w:shd w:val="clear" w:color="auto" w:fill="auto"/>
          </w:tcPr>
          <w:p w14:paraId="63268B14"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68</w:t>
            </w:r>
          </w:p>
        </w:tc>
        <w:tc>
          <w:tcPr>
            <w:tcW w:w="802" w:type="pct"/>
            <w:gridSpan w:val="2"/>
            <w:tcBorders>
              <w:top w:val="single" w:sz="8" w:space="0" w:color="AEAEAE"/>
              <w:left w:val="single" w:sz="18" w:space="0" w:color="auto"/>
              <w:bottom w:val="single" w:sz="8" w:space="0" w:color="AEAEAE"/>
              <w:right w:val="single" w:sz="18" w:space="0" w:color="auto"/>
            </w:tcBorders>
            <w:shd w:val="clear" w:color="auto" w:fill="auto"/>
          </w:tcPr>
          <w:p w14:paraId="58B25854"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,01</w:t>
            </w:r>
          </w:p>
        </w:tc>
        <w:tc>
          <w:tcPr>
            <w:tcW w:w="845" w:type="pct"/>
            <w:gridSpan w:val="2"/>
            <w:tcBorders>
              <w:top w:val="single" w:sz="8" w:space="0" w:color="AEAEAE"/>
              <w:left w:val="single" w:sz="18" w:space="0" w:color="auto"/>
              <w:bottom w:val="single" w:sz="8" w:space="0" w:color="AEAEAE"/>
              <w:right w:val="single" w:sz="18" w:space="0" w:color="auto"/>
            </w:tcBorders>
            <w:shd w:val="clear" w:color="auto" w:fill="auto"/>
          </w:tcPr>
          <w:p w14:paraId="4CF37518"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46,66</w:t>
            </w:r>
          </w:p>
        </w:tc>
        <w:tc>
          <w:tcPr>
            <w:tcW w:w="732" w:type="pct"/>
            <w:gridSpan w:val="2"/>
            <w:tcBorders>
              <w:top w:val="single" w:sz="8" w:space="0" w:color="AEAEAE"/>
              <w:left w:val="single" w:sz="18" w:space="0" w:color="auto"/>
              <w:bottom w:val="single" w:sz="8" w:space="0" w:color="AEAEAE"/>
              <w:right w:val="single" w:sz="18" w:space="0" w:color="auto"/>
            </w:tcBorders>
            <w:shd w:val="clear" w:color="auto" w:fill="auto"/>
          </w:tcPr>
          <w:p w14:paraId="32DFE6BF"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9,6915</w:t>
            </w:r>
          </w:p>
        </w:tc>
        <w:tc>
          <w:tcPr>
            <w:tcW w:w="848" w:type="pct"/>
            <w:tcBorders>
              <w:top w:val="single" w:sz="8" w:space="0" w:color="AEAEAE"/>
              <w:left w:val="single" w:sz="18" w:space="0" w:color="auto"/>
              <w:bottom w:val="single" w:sz="8" w:space="0" w:color="AEAEAE"/>
              <w:right w:val="single" w:sz="18" w:space="0" w:color="auto"/>
            </w:tcBorders>
            <w:shd w:val="clear" w:color="auto" w:fill="auto"/>
          </w:tcPr>
          <w:p w14:paraId="52A3FCBC"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11,19519</w:t>
            </w:r>
          </w:p>
        </w:tc>
      </w:tr>
      <w:tr w:rsidR="004D309A" w:rsidRPr="00B7499D" w14:paraId="3A554101" w14:textId="77777777" w:rsidTr="004D309A">
        <w:trPr>
          <w:cantSplit/>
        </w:trPr>
        <w:tc>
          <w:tcPr>
            <w:tcW w:w="1200" w:type="pct"/>
            <w:gridSpan w:val="3"/>
            <w:tcBorders>
              <w:top w:val="single" w:sz="8" w:space="0" w:color="AEAEAE"/>
              <w:left w:val="single" w:sz="18" w:space="0" w:color="auto"/>
              <w:bottom w:val="single" w:sz="8" w:space="0" w:color="AEAEAE"/>
              <w:right w:val="single" w:sz="18" w:space="0" w:color="auto"/>
            </w:tcBorders>
            <w:shd w:val="clear" w:color="auto" w:fill="auto"/>
          </w:tcPr>
          <w:p w14:paraId="09B822B9" w14:textId="77777777"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Audit Delay</w:t>
            </w:r>
          </w:p>
        </w:tc>
        <w:tc>
          <w:tcPr>
            <w:tcW w:w="572" w:type="pct"/>
            <w:tcBorders>
              <w:top w:val="single" w:sz="8" w:space="0" w:color="AEAEAE"/>
              <w:left w:val="single" w:sz="18" w:space="0" w:color="auto"/>
              <w:bottom w:val="single" w:sz="8" w:space="0" w:color="AEAEAE"/>
              <w:right w:val="single" w:sz="18" w:space="0" w:color="auto"/>
            </w:tcBorders>
            <w:shd w:val="clear" w:color="auto" w:fill="auto"/>
          </w:tcPr>
          <w:p w14:paraId="7818D36B"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68</w:t>
            </w:r>
          </w:p>
        </w:tc>
        <w:tc>
          <w:tcPr>
            <w:tcW w:w="802" w:type="pct"/>
            <w:gridSpan w:val="2"/>
            <w:tcBorders>
              <w:top w:val="single" w:sz="8" w:space="0" w:color="AEAEAE"/>
              <w:left w:val="single" w:sz="18" w:space="0" w:color="auto"/>
              <w:bottom w:val="single" w:sz="8" w:space="0" w:color="AEAEAE"/>
              <w:right w:val="single" w:sz="18" w:space="0" w:color="auto"/>
            </w:tcBorders>
            <w:shd w:val="clear" w:color="auto" w:fill="auto"/>
          </w:tcPr>
          <w:p w14:paraId="6B73A342"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29,00</w:t>
            </w:r>
          </w:p>
        </w:tc>
        <w:tc>
          <w:tcPr>
            <w:tcW w:w="845" w:type="pct"/>
            <w:gridSpan w:val="2"/>
            <w:tcBorders>
              <w:top w:val="single" w:sz="8" w:space="0" w:color="AEAEAE"/>
              <w:left w:val="single" w:sz="18" w:space="0" w:color="auto"/>
              <w:bottom w:val="single" w:sz="8" w:space="0" w:color="AEAEAE"/>
              <w:right w:val="single" w:sz="18" w:space="0" w:color="auto"/>
            </w:tcBorders>
            <w:shd w:val="clear" w:color="auto" w:fill="auto"/>
          </w:tcPr>
          <w:p w14:paraId="4E4B10B0"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113,00</w:t>
            </w:r>
          </w:p>
        </w:tc>
        <w:tc>
          <w:tcPr>
            <w:tcW w:w="732" w:type="pct"/>
            <w:gridSpan w:val="2"/>
            <w:tcBorders>
              <w:top w:val="single" w:sz="8" w:space="0" w:color="AEAEAE"/>
              <w:left w:val="single" w:sz="18" w:space="0" w:color="auto"/>
              <w:bottom w:val="single" w:sz="8" w:space="0" w:color="AEAEAE"/>
              <w:right w:val="single" w:sz="18" w:space="0" w:color="auto"/>
            </w:tcBorders>
            <w:shd w:val="clear" w:color="auto" w:fill="auto"/>
          </w:tcPr>
          <w:p w14:paraId="30CC1791"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73,7500</w:t>
            </w:r>
          </w:p>
        </w:tc>
        <w:tc>
          <w:tcPr>
            <w:tcW w:w="848" w:type="pct"/>
            <w:tcBorders>
              <w:top w:val="single" w:sz="8" w:space="0" w:color="AEAEAE"/>
              <w:left w:val="single" w:sz="18" w:space="0" w:color="auto"/>
              <w:bottom w:val="single" w:sz="8" w:space="0" w:color="AEAEAE"/>
              <w:right w:val="single" w:sz="18" w:space="0" w:color="auto"/>
            </w:tcBorders>
            <w:shd w:val="clear" w:color="auto" w:fill="auto"/>
          </w:tcPr>
          <w:p w14:paraId="20B0D12C"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16,86237</w:t>
            </w:r>
          </w:p>
        </w:tc>
      </w:tr>
      <w:tr w:rsidR="004D309A" w:rsidRPr="00B7499D" w14:paraId="03F611B1" w14:textId="77777777" w:rsidTr="004D309A">
        <w:trPr>
          <w:cantSplit/>
        </w:trPr>
        <w:tc>
          <w:tcPr>
            <w:tcW w:w="1200" w:type="pct"/>
            <w:gridSpan w:val="3"/>
            <w:tcBorders>
              <w:top w:val="single" w:sz="8" w:space="0" w:color="AEAEAE"/>
              <w:left w:val="single" w:sz="18" w:space="0" w:color="auto"/>
              <w:bottom w:val="single" w:sz="18" w:space="0" w:color="auto"/>
              <w:right w:val="single" w:sz="18" w:space="0" w:color="auto"/>
            </w:tcBorders>
            <w:shd w:val="clear" w:color="auto" w:fill="auto"/>
          </w:tcPr>
          <w:p w14:paraId="73AB89CB" w14:textId="77777777"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Valid N (listwise)</w:t>
            </w:r>
          </w:p>
        </w:tc>
        <w:tc>
          <w:tcPr>
            <w:tcW w:w="572" w:type="pct"/>
            <w:tcBorders>
              <w:top w:val="single" w:sz="8" w:space="0" w:color="AEAEAE"/>
              <w:left w:val="single" w:sz="18" w:space="0" w:color="auto"/>
              <w:bottom w:val="single" w:sz="18" w:space="0" w:color="auto"/>
              <w:right w:val="single" w:sz="18" w:space="0" w:color="auto"/>
            </w:tcBorders>
            <w:shd w:val="clear" w:color="auto" w:fill="auto"/>
          </w:tcPr>
          <w:p w14:paraId="16D22710"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68</w:t>
            </w:r>
          </w:p>
        </w:tc>
        <w:tc>
          <w:tcPr>
            <w:tcW w:w="802" w:type="pct"/>
            <w:gridSpan w:val="2"/>
            <w:tcBorders>
              <w:top w:val="single" w:sz="8" w:space="0" w:color="AEAEAE"/>
              <w:left w:val="single" w:sz="18" w:space="0" w:color="auto"/>
              <w:bottom w:val="single" w:sz="18" w:space="0" w:color="auto"/>
              <w:right w:val="single" w:sz="18" w:space="0" w:color="auto"/>
            </w:tcBorders>
            <w:shd w:val="clear" w:color="auto" w:fill="auto"/>
            <w:vAlign w:val="center"/>
          </w:tcPr>
          <w:p w14:paraId="17313D19" w14:textId="77777777" w:rsidR="00B7499D" w:rsidRPr="00B7499D" w:rsidRDefault="00B7499D" w:rsidP="00132145">
            <w:pPr>
              <w:adjustRightInd w:val="0"/>
              <w:rPr>
                <w:rFonts w:ascii="Arial" w:hAnsi="Arial" w:cs="Arial"/>
                <w:sz w:val="16"/>
                <w:szCs w:val="16"/>
              </w:rPr>
            </w:pPr>
          </w:p>
        </w:tc>
        <w:tc>
          <w:tcPr>
            <w:tcW w:w="845" w:type="pct"/>
            <w:gridSpan w:val="2"/>
            <w:tcBorders>
              <w:top w:val="single" w:sz="8" w:space="0" w:color="AEAEAE"/>
              <w:left w:val="single" w:sz="18" w:space="0" w:color="auto"/>
              <w:bottom w:val="single" w:sz="18" w:space="0" w:color="auto"/>
              <w:right w:val="single" w:sz="18" w:space="0" w:color="auto"/>
            </w:tcBorders>
            <w:shd w:val="clear" w:color="auto" w:fill="auto"/>
            <w:vAlign w:val="center"/>
          </w:tcPr>
          <w:p w14:paraId="5701A8F8" w14:textId="77777777" w:rsidR="00B7499D" w:rsidRPr="00B7499D" w:rsidRDefault="00B7499D" w:rsidP="00132145">
            <w:pPr>
              <w:adjustRightInd w:val="0"/>
              <w:rPr>
                <w:rFonts w:ascii="Arial" w:hAnsi="Arial" w:cs="Arial"/>
                <w:sz w:val="16"/>
                <w:szCs w:val="16"/>
              </w:rPr>
            </w:pPr>
          </w:p>
        </w:tc>
        <w:tc>
          <w:tcPr>
            <w:tcW w:w="732" w:type="pct"/>
            <w:gridSpan w:val="2"/>
            <w:tcBorders>
              <w:top w:val="single" w:sz="8" w:space="0" w:color="AEAEAE"/>
              <w:left w:val="single" w:sz="18" w:space="0" w:color="auto"/>
              <w:bottom w:val="single" w:sz="18" w:space="0" w:color="auto"/>
              <w:right w:val="single" w:sz="18" w:space="0" w:color="auto"/>
            </w:tcBorders>
            <w:shd w:val="clear" w:color="auto" w:fill="auto"/>
            <w:vAlign w:val="center"/>
          </w:tcPr>
          <w:p w14:paraId="75BC1778" w14:textId="77777777" w:rsidR="00B7499D" w:rsidRPr="00B7499D" w:rsidRDefault="00B7499D" w:rsidP="00132145">
            <w:pPr>
              <w:adjustRightInd w:val="0"/>
              <w:rPr>
                <w:rFonts w:ascii="Arial" w:hAnsi="Arial" w:cs="Arial"/>
                <w:sz w:val="16"/>
                <w:szCs w:val="16"/>
              </w:rPr>
            </w:pPr>
          </w:p>
        </w:tc>
        <w:tc>
          <w:tcPr>
            <w:tcW w:w="848" w:type="pct"/>
            <w:tcBorders>
              <w:top w:val="single" w:sz="8" w:space="0" w:color="AEAEAE"/>
              <w:left w:val="single" w:sz="18" w:space="0" w:color="auto"/>
              <w:bottom w:val="single" w:sz="18" w:space="0" w:color="auto"/>
              <w:right w:val="single" w:sz="18" w:space="0" w:color="auto"/>
            </w:tcBorders>
            <w:shd w:val="clear" w:color="auto" w:fill="auto"/>
            <w:vAlign w:val="center"/>
          </w:tcPr>
          <w:p w14:paraId="4BDD4D94" w14:textId="77777777" w:rsidR="00B7499D" w:rsidRPr="00B7499D" w:rsidRDefault="00B7499D" w:rsidP="00132145">
            <w:pPr>
              <w:adjustRightInd w:val="0"/>
              <w:rPr>
                <w:rFonts w:ascii="Arial" w:hAnsi="Arial" w:cs="Arial"/>
                <w:sz w:val="16"/>
                <w:szCs w:val="16"/>
              </w:rPr>
            </w:pPr>
          </w:p>
        </w:tc>
      </w:tr>
      <w:tr w:rsidR="00B7499D" w:rsidRPr="00B7499D" w14:paraId="1359D445" w14:textId="77777777" w:rsidTr="00B7499D">
        <w:trPr>
          <w:cantSplit/>
        </w:trPr>
        <w:tc>
          <w:tcPr>
            <w:tcW w:w="5000" w:type="pct"/>
            <w:gridSpan w:val="11"/>
            <w:tcBorders>
              <w:top w:val="nil"/>
              <w:left w:val="nil"/>
              <w:bottom w:val="single" w:sz="18" w:space="0" w:color="auto"/>
              <w:right w:val="nil"/>
            </w:tcBorders>
            <w:shd w:val="clear" w:color="auto" w:fill="auto"/>
            <w:vAlign w:val="center"/>
          </w:tcPr>
          <w:p w14:paraId="1963C8E7" w14:textId="77777777" w:rsidR="004D309A" w:rsidRDefault="004D309A" w:rsidP="00132145">
            <w:pPr>
              <w:adjustRightInd w:val="0"/>
              <w:ind w:left="60" w:right="60"/>
              <w:jc w:val="center"/>
              <w:rPr>
                <w:rFonts w:ascii="Arial" w:hAnsi="Arial" w:cs="Arial"/>
                <w:b/>
                <w:bCs/>
                <w:sz w:val="16"/>
                <w:szCs w:val="16"/>
              </w:rPr>
            </w:pPr>
          </w:p>
          <w:p w14:paraId="281A4871" w14:textId="7A94D106"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b/>
                <w:bCs/>
                <w:sz w:val="16"/>
                <w:szCs w:val="16"/>
              </w:rPr>
              <w:t>KAP Size</w:t>
            </w:r>
          </w:p>
        </w:tc>
      </w:tr>
      <w:tr w:rsidR="00B7499D" w:rsidRPr="00B7499D" w14:paraId="541E63B6" w14:textId="77777777" w:rsidTr="004D309A">
        <w:trPr>
          <w:cantSplit/>
        </w:trPr>
        <w:tc>
          <w:tcPr>
            <w:tcW w:w="1112"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78311DE6" w14:textId="77777777" w:rsidR="00B7499D" w:rsidRPr="00B7499D" w:rsidRDefault="00B7499D" w:rsidP="00132145">
            <w:pPr>
              <w:adjustRightInd w:val="0"/>
              <w:rPr>
                <w:rFonts w:ascii="Arial" w:hAnsi="Arial" w:cs="Arial"/>
                <w:sz w:val="16"/>
                <w:szCs w:val="16"/>
              </w:rPr>
            </w:pPr>
          </w:p>
        </w:tc>
        <w:tc>
          <w:tcPr>
            <w:tcW w:w="908" w:type="pct"/>
            <w:gridSpan w:val="3"/>
            <w:tcBorders>
              <w:top w:val="single" w:sz="18" w:space="0" w:color="auto"/>
              <w:left w:val="single" w:sz="18" w:space="0" w:color="auto"/>
              <w:bottom w:val="single" w:sz="18" w:space="0" w:color="auto"/>
              <w:right w:val="single" w:sz="18" w:space="0" w:color="auto"/>
            </w:tcBorders>
            <w:shd w:val="clear" w:color="auto" w:fill="auto"/>
            <w:vAlign w:val="bottom"/>
          </w:tcPr>
          <w:p w14:paraId="0F5501A9"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Frequency</w:t>
            </w:r>
          </w:p>
        </w:tc>
        <w:tc>
          <w:tcPr>
            <w:tcW w:w="781"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4B2D62AC"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Percent</w:t>
            </w:r>
          </w:p>
        </w:tc>
        <w:tc>
          <w:tcPr>
            <w:tcW w:w="1069"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272F35C1"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Valid Percent</w:t>
            </w:r>
          </w:p>
        </w:tc>
        <w:tc>
          <w:tcPr>
            <w:tcW w:w="1129"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592DFBB6" w14:textId="77777777" w:rsidR="00B7499D" w:rsidRPr="00B7499D" w:rsidRDefault="00B7499D" w:rsidP="00132145">
            <w:pPr>
              <w:adjustRightInd w:val="0"/>
              <w:ind w:left="60" w:right="60"/>
              <w:jc w:val="center"/>
              <w:rPr>
                <w:rFonts w:ascii="Arial" w:hAnsi="Arial" w:cs="Arial"/>
                <w:sz w:val="16"/>
                <w:szCs w:val="16"/>
              </w:rPr>
            </w:pPr>
            <w:r w:rsidRPr="00B7499D">
              <w:rPr>
                <w:rFonts w:ascii="Arial" w:hAnsi="Arial" w:cs="Arial"/>
                <w:sz w:val="16"/>
                <w:szCs w:val="16"/>
              </w:rPr>
              <w:t>Cumulative Percent</w:t>
            </w:r>
          </w:p>
        </w:tc>
      </w:tr>
      <w:tr w:rsidR="00B7499D" w:rsidRPr="00B7499D" w14:paraId="0A433E14" w14:textId="77777777" w:rsidTr="004D309A">
        <w:trPr>
          <w:cantSplit/>
        </w:trPr>
        <w:tc>
          <w:tcPr>
            <w:tcW w:w="556" w:type="pct"/>
            <w:vMerge w:val="restart"/>
            <w:tcBorders>
              <w:top w:val="single" w:sz="18" w:space="0" w:color="auto"/>
              <w:left w:val="single" w:sz="18" w:space="0" w:color="auto"/>
              <w:bottom w:val="single" w:sz="8" w:space="0" w:color="152935"/>
              <w:right w:val="nil"/>
            </w:tcBorders>
            <w:shd w:val="clear" w:color="auto" w:fill="auto"/>
          </w:tcPr>
          <w:p w14:paraId="2CE41ADB" w14:textId="77777777"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Valid</w:t>
            </w:r>
          </w:p>
        </w:tc>
        <w:tc>
          <w:tcPr>
            <w:tcW w:w="556" w:type="pct"/>
            <w:tcBorders>
              <w:top w:val="single" w:sz="18" w:space="0" w:color="auto"/>
              <w:left w:val="nil"/>
              <w:bottom w:val="single" w:sz="8" w:space="0" w:color="AEAEAE"/>
              <w:right w:val="single" w:sz="18" w:space="0" w:color="auto"/>
            </w:tcBorders>
            <w:shd w:val="clear" w:color="auto" w:fill="auto"/>
          </w:tcPr>
          <w:p w14:paraId="45E6FFF3" w14:textId="77777777"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,00</w:t>
            </w:r>
          </w:p>
        </w:tc>
        <w:tc>
          <w:tcPr>
            <w:tcW w:w="908" w:type="pct"/>
            <w:gridSpan w:val="3"/>
            <w:tcBorders>
              <w:top w:val="single" w:sz="18" w:space="0" w:color="auto"/>
              <w:left w:val="single" w:sz="18" w:space="0" w:color="auto"/>
              <w:bottom w:val="single" w:sz="8" w:space="0" w:color="AEAEAE"/>
              <w:right w:val="single" w:sz="18" w:space="0" w:color="auto"/>
            </w:tcBorders>
            <w:shd w:val="clear" w:color="auto" w:fill="auto"/>
          </w:tcPr>
          <w:p w14:paraId="49F5F68D"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17</w:t>
            </w:r>
          </w:p>
        </w:tc>
        <w:tc>
          <w:tcPr>
            <w:tcW w:w="781" w:type="pct"/>
            <w:gridSpan w:val="2"/>
            <w:tcBorders>
              <w:top w:val="single" w:sz="18" w:space="0" w:color="auto"/>
              <w:left w:val="single" w:sz="18" w:space="0" w:color="auto"/>
              <w:bottom w:val="single" w:sz="8" w:space="0" w:color="AEAEAE"/>
              <w:right w:val="single" w:sz="18" w:space="0" w:color="auto"/>
            </w:tcBorders>
            <w:shd w:val="clear" w:color="auto" w:fill="auto"/>
          </w:tcPr>
          <w:p w14:paraId="7C0060ED"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25,0</w:t>
            </w:r>
          </w:p>
        </w:tc>
        <w:tc>
          <w:tcPr>
            <w:tcW w:w="1069" w:type="pct"/>
            <w:gridSpan w:val="2"/>
            <w:tcBorders>
              <w:top w:val="single" w:sz="18" w:space="0" w:color="auto"/>
              <w:left w:val="single" w:sz="18" w:space="0" w:color="auto"/>
              <w:bottom w:val="single" w:sz="8" w:space="0" w:color="AEAEAE"/>
              <w:right w:val="single" w:sz="18" w:space="0" w:color="auto"/>
            </w:tcBorders>
            <w:shd w:val="clear" w:color="auto" w:fill="auto"/>
          </w:tcPr>
          <w:p w14:paraId="35935EE8"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25,0</w:t>
            </w:r>
          </w:p>
        </w:tc>
        <w:tc>
          <w:tcPr>
            <w:tcW w:w="1129" w:type="pct"/>
            <w:gridSpan w:val="2"/>
            <w:tcBorders>
              <w:top w:val="single" w:sz="18" w:space="0" w:color="auto"/>
              <w:left w:val="single" w:sz="18" w:space="0" w:color="auto"/>
              <w:bottom w:val="single" w:sz="8" w:space="0" w:color="AEAEAE"/>
              <w:right w:val="single" w:sz="18" w:space="0" w:color="auto"/>
            </w:tcBorders>
            <w:shd w:val="clear" w:color="auto" w:fill="auto"/>
          </w:tcPr>
          <w:p w14:paraId="71ACB907"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25,0</w:t>
            </w:r>
          </w:p>
        </w:tc>
      </w:tr>
      <w:tr w:rsidR="00B7499D" w:rsidRPr="00B7499D" w14:paraId="0167EA28" w14:textId="77777777" w:rsidTr="004D309A">
        <w:trPr>
          <w:cantSplit/>
        </w:trPr>
        <w:tc>
          <w:tcPr>
            <w:tcW w:w="556" w:type="pct"/>
            <w:vMerge/>
            <w:tcBorders>
              <w:top w:val="single" w:sz="8" w:space="0" w:color="152935"/>
              <w:left w:val="single" w:sz="18" w:space="0" w:color="auto"/>
              <w:bottom w:val="single" w:sz="8" w:space="0" w:color="152935"/>
              <w:right w:val="nil"/>
            </w:tcBorders>
            <w:shd w:val="clear" w:color="auto" w:fill="auto"/>
          </w:tcPr>
          <w:p w14:paraId="50B1348B" w14:textId="77777777" w:rsidR="00B7499D" w:rsidRPr="00B7499D" w:rsidRDefault="00B7499D" w:rsidP="00132145">
            <w:pPr>
              <w:adjustRightInd w:val="0"/>
              <w:rPr>
                <w:rFonts w:ascii="Arial" w:hAnsi="Arial" w:cs="Arial"/>
                <w:sz w:val="16"/>
                <w:szCs w:val="16"/>
              </w:rPr>
            </w:pPr>
          </w:p>
        </w:tc>
        <w:tc>
          <w:tcPr>
            <w:tcW w:w="556" w:type="pct"/>
            <w:tcBorders>
              <w:top w:val="single" w:sz="8" w:space="0" w:color="AEAEAE"/>
              <w:left w:val="nil"/>
              <w:bottom w:val="single" w:sz="8" w:space="0" w:color="AEAEAE"/>
              <w:right w:val="single" w:sz="18" w:space="0" w:color="auto"/>
            </w:tcBorders>
            <w:shd w:val="clear" w:color="auto" w:fill="auto"/>
          </w:tcPr>
          <w:p w14:paraId="3939A9F0" w14:textId="77777777"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1,00</w:t>
            </w:r>
          </w:p>
        </w:tc>
        <w:tc>
          <w:tcPr>
            <w:tcW w:w="908" w:type="pct"/>
            <w:gridSpan w:val="3"/>
            <w:tcBorders>
              <w:top w:val="single" w:sz="8" w:space="0" w:color="AEAEAE"/>
              <w:left w:val="single" w:sz="18" w:space="0" w:color="auto"/>
              <w:bottom w:val="single" w:sz="8" w:space="0" w:color="AEAEAE"/>
              <w:right w:val="single" w:sz="18" w:space="0" w:color="auto"/>
            </w:tcBorders>
            <w:shd w:val="clear" w:color="auto" w:fill="auto"/>
          </w:tcPr>
          <w:p w14:paraId="7439362C"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51</w:t>
            </w:r>
          </w:p>
        </w:tc>
        <w:tc>
          <w:tcPr>
            <w:tcW w:w="781" w:type="pct"/>
            <w:gridSpan w:val="2"/>
            <w:tcBorders>
              <w:top w:val="single" w:sz="8" w:space="0" w:color="AEAEAE"/>
              <w:left w:val="single" w:sz="18" w:space="0" w:color="auto"/>
              <w:bottom w:val="single" w:sz="8" w:space="0" w:color="AEAEAE"/>
              <w:right w:val="single" w:sz="18" w:space="0" w:color="auto"/>
            </w:tcBorders>
            <w:shd w:val="clear" w:color="auto" w:fill="auto"/>
          </w:tcPr>
          <w:p w14:paraId="51E03BF5"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75,0</w:t>
            </w:r>
          </w:p>
        </w:tc>
        <w:tc>
          <w:tcPr>
            <w:tcW w:w="1069" w:type="pct"/>
            <w:gridSpan w:val="2"/>
            <w:tcBorders>
              <w:top w:val="single" w:sz="8" w:space="0" w:color="AEAEAE"/>
              <w:left w:val="single" w:sz="18" w:space="0" w:color="auto"/>
              <w:bottom w:val="single" w:sz="8" w:space="0" w:color="AEAEAE"/>
              <w:right w:val="single" w:sz="18" w:space="0" w:color="auto"/>
            </w:tcBorders>
            <w:shd w:val="clear" w:color="auto" w:fill="auto"/>
          </w:tcPr>
          <w:p w14:paraId="2268F727"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75,0</w:t>
            </w:r>
          </w:p>
        </w:tc>
        <w:tc>
          <w:tcPr>
            <w:tcW w:w="1129" w:type="pct"/>
            <w:gridSpan w:val="2"/>
            <w:tcBorders>
              <w:top w:val="single" w:sz="8" w:space="0" w:color="AEAEAE"/>
              <w:left w:val="single" w:sz="18" w:space="0" w:color="auto"/>
              <w:bottom w:val="single" w:sz="8" w:space="0" w:color="AEAEAE"/>
              <w:right w:val="single" w:sz="18" w:space="0" w:color="auto"/>
            </w:tcBorders>
            <w:shd w:val="clear" w:color="auto" w:fill="auto"/>
          </w:tcPr>
          <w:p w14:paraId="2FDE6225"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100,0</w:t>
            </w:r>
          </w:p>
        </w:tc>
      </w:tr>
      <w:tr w:rsidR="00B7499D" w:rsidRPr="00B7499D" w14:paraId="3C8F3215" w14:textId="77777777" w:rsidTr="004D309A">
        <w:trPr>
          <w:cantSplit/>
        </w:trPr>
        <w:tc>
          <w:tcPr>
            <w:tcW w:w="556" w:type="pct"/>
            <w:vMerge/>
            <w:tcBorders>
              <w:top w:val="single" w:sz="8" w:space="0" w:color="152935"/>
              <w:left w:val="single" w:sz="18" w:space="0" w:color="auto"/>
              <w:bottom w:val="single" w:sz="18" w:space="0" w:color="auto"/>
              <w:right w:val="nil"/>
            </w:tcBorders>
            <w:shd w:val="clear" w:color="auto" w:fill="auto"/>
          </w:tcPr>
          <w:p w14:paraId="0A8EA34D" w14:textId="77777777" w:rsidR="00B7499D" w:rsidRPr="00B7499D" w:rsidRDefault="00B7499D" w:rsidP="00132145">
            <w:pPr>
              <w:adjustRightInd w:val="0"/>
              <w:rPr>
                <w:rFonts w:ascii="Arial" w:hAnsi="Arial" w:cs="Arial"/>
                <w:sz w:val="16"/>
                <w:szCs w:val="16"/>
              </w:rPr>
            </w:pPr>
          </w:p>
        </w:tc>
        <w:tc>
          <w:tcPr>
            <w:tcW w:w="556" w:type="pct"/>
            <w:tcBorders>
              <w:top w:val="single" w:sz="8" w:space="0" w:color="AEAEAE"/>
              <w:left w:val="nil"/>
              <w:bottom w:val="single" w:sz="18" w:space="0" w:color="auto"/>
              <w:right w:val="single" w:sz="18" w:space="0" w:color="auto"/>
            </w:tcBorders>
            <w:shd w:val="clear" w:color="auto" w:fill="auto"/>
          </w:tcPr>
          <w:p w14:paraId="1D1B7F3E" w14:textId="77777777" w:rsidR="00B7499D" w:rsidRPr="00B7499D" w:rsidRDefault="00B7499D" w:rsidP="00132145">
            <w:pPr>
              <w:adjustRightInd w:val="0"/>
              <w:ind w:left="60" w:right="60"/>
              <w:rPr>
                <w:rFonts w:ascii="Arial" w:hAnsi="Arial" w:cs="Arial"/>
                <w:sz w:val="16"/>
                <w:szCs w:val="16"/>
              </w:rPr>
            </w:pPr>
            <w:r w:rsidRPr="00B7499D">
              <w:rPr>
                <w:rFonts w:ascii="Arial" w:hAnsi="Arial" w:cs="Arial"/>
                <w:sz w:val="16"/>
                <w:szCs w:val="16"/>
              </w:rPr>
              <w:t>Total</w:t>
            </w:r>
          </w:p>
        </w:tc>
        <w:tc>
          <w:tcPr>
            <w:tcW w:w="908" w:type="pct"/>
            <w:gridSpan w:val="3"/>
            <w:tcBorders>
              <w:top w:val="single" w:sz="8" w:space="0" w:color="AEAEAE"/>
              <w:left w:val="single" w:sz="18" w:space="0" w:color="auto"/>
              <w:bottom w:val="single" w:sz="18" w:space="0" w:color="auto"/>
              <w:right w:val="single" w:sz="18" w:space="0" w:color="auto"/>
            </w:tcBorders>
            <w:shd w:val="clear" w:color="auto" w:fill="auto"/>
          </w:tcPr>
          <w:p w14:paraId="42ED2A54"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68</w:t>
            </w:r>
          </w:p>
        </w:tc>
        <w:tc>
          <w:tcPr>
            <w:tcW w:w="781" w:type="pct"/>
            <w:gridSpan w:val="2"/>
            <w:tcBorders>
              <w:top w:val="single" w:sz="8" w:space="0" w:color="AEAEAE"/>
              <w:left w:val="single" w:sz="18" w:space="0" w:color="auto"/>
              <w:bottom w:val="single" w:sz="18" w:space="0" w:color="auto"/>
              <w:right w:val="single" w:sz="18" w:space="0" w:color="auto"/>
            </w:tcBorders>
            <w:shd w:val="clear" w:color="auto" w:fill="auto"/>
          </w:tcPr>
          <w:p w14:paraId="1F7DAE93"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100,0</w:t>
            </w:r>
          </w:p>
        </w:tc>
        <w:tc>
          <w:tcPr>
            <w:tcW w:w="1069" w:type="pct"/>
            <w:gridSpan w:val="2"/>
            <w:tcBorders>
              <w:top w:val="single" w:sz="8" w:space="0" w:color="AEAEAE"/>
              <w:left w:val="single" w:sz="18" w:space="0" w:color="auto"/>
              <w:bottom w:val="single" w:sz="18" w:space="0" w:color="auto"/>
              <w:right w:val="single" w:sz="18" w:space="0" w:color="auto"/>
            </w:tcBorders>
            <w:shd w:val="clear" w:color="auto" w:fill="auto"/>
          </w:tcPr>
          <w:p w14:paraId="339EF54D" w14:textId="77777777" w:rsidR="00B7499D" w:rsidRPr="00B7499D" w:rsidRDefault="00B7499D" w:rsidP="00132145">
            <w:pPr>
              <w:adjustRightInd w:val="0"/>
              <w:ind w:left="60" w:right="60"/>
              <w:jc w:val="right"/>
              <w:rPr>
                <w:rFonts w:ascii="Arial" w:hAnsi="Arial" w:cs="Arial"/>
                <w:sz w:val="16"/>
                <w:szCs w:val="16"/>
              </w:rPr>
            </w:pPr>
            <w:r w:rsidRPr="00B7499D">
              <w:rPr>
                <w:rFonts w:ascii="Arial" w:hAnsi="Arial" w:cs="Arial"/>
                <w:sz w:val="16"/>
                <w:szCs w:val="16"/>
              </w:rPr>
              <w:t>100,0</w:t>
            </w:r>
          </w:p>
        </w:tc>
        <w:tc>
          <w:tcPr>
            <w:tcW w:w="1129" w:type="pct"/>
            <w:gridSpan w:val="2"/>
            <w:tcBorders>
              <w:top w:val="single" w:sz="8" w:space="0" w:color="AEAEAE"/>
              <w:left w:val="single" w:sz="18" w:space="0" w:color="auto"/>
              <w:bottom w:val="single" w:sz="18" w:space="0" w:color="auto"/>
              <w:right w:val="single" w:sz="18" w:space="0" w:color="auto"/>
            </w:tcBorders>
            <w:shd w:val="clear" w:color="auto" w:fill="auto"/>
            <w:vAlign w:val="center"/>
          </w:tcPr>
          <w:p w14:paraId="743551C7" w14:textId="77777777" w:rsidR="00B7499D" w:rsidRPr="00B7499D" w:rsidRDefault="00B7499D" w:rsidP="00132145">
            <w:pPr>
              <w:adjustRightInd w:val="0"/>
              <w:rPr>
                <w:rFonts w:ascii="Arial" w:hAnsi="Arial" w:cs="Arial"/>
                <w:sz w:val="16"/>
                <w:szCs w:val="16"/>
              </w:rPr>
            </w:pPr>
          </w:p>
        </w:tc>
      </w:tr>
    </w:tbl>
    <w:p w14:paraId="7E316F2F" w14:textId="4B64B2B7" w:rsidR="00B7499D" w:rsidRDefault="00B7499D" w:rsidP="009171FA">
      <w:pPr>
        <w:pStyle w:val="Heading1"/>
        <w:tabs>
          <w:tab w:val="left" w:pos="-7938"/>
        </w:tabs>
        <w:spacing w:before="1" w:line="288" w:lineRule="auto"/>
        <w:ind w:left="0" w:right="636" w:firstLine="0"/>
        <w:jc w:val="both"/>
        <w:rPr>
          <w:b w:val="0"/>
          <w:color w:val="000000" w:themeColor="text1"/>
          <w:sz w:val="20"/>
          <w:szCs w:val="20"/>
        </w:rPr>
      </w:pPr>
      <w:r>
        <w:rPr>
          <w:b w:val="0"/>
          <w:color w:val="000000" w:themeColor="text1"/>
          <w:sz w:val="20"/>
          <w:szCs w:val="20"/>
        </w:rPr>
        <w:t xml:space="preserve">Source: SPSS 24 </w:t>
      </w:r>
      <w:r w:rsidRPr="00B7499D">
        <w:rPr>
          <w:b w:val="0"/>
          <w:color w:val="000000" w:themeColor="text1"/>
          <w:sz w:val="20"/>
          <w:szCs w:val="20"/>
        </w:rPr>
        <w:t>output</w:t>
      </w:r>
      <w:r>
        <w:rPr>
          <w:b w:val="0"/>
          <w:color w:val="000000" w:themeColor="text1"/>
          <w:sz w:val="20"/>
          <w:szCs w:val="20"/>
        </w:rPr>
        <w:t xml:space="preserve"> (2021)</w:t>
      </w:r>
    </w:p>
    <w:p w14:paraId="571D0571" w14:textId="7E5268D2" w:rsidR="00B7499D" w:rsidRDefault="00B7499D" w:rsidP="009171FA">
      <w:pPr>
        <w:pStyle w:val="Heading1"/>
        <w:tabs>
          <w:tab w:val="left" w:pos="-7938"/>
        </w:tabs>
        <w:spacing w:before="1" w:line="288" w:lineRule="auto"/>
        <w:ind w:left="0" w:right="636" w:firstLine="0"/>
        <w:jc w:val="both"/>
        <w:rPr>
          <w:b w:val="0"/>
          <w:color w:val="000000" w:themeColor="text1"/>
          <w:sz w:val="20"/>
          <w:szCs w:val="20"/>
        </w:rPr>
      </w:pPr>
    </w:p>
    <w:p w14:paraId="5F15D86A" w14:textId="77777777" w:rsidR="00B7499D" w:rsidRPr="00B7499D" w:rsidRDefault="00B7499D" w:rsidP="007B54B5">
      <w:pPr>
        <w:pStyle w:val="Heading1"/>
        <w:tabs>
          <w:tab w:val="left" w:pos="-7938"/>
        </w:tabs>
        <w:spacing w:before="1" w:line="288" w:lineRule="auto"/>
        <w:ind w:left="0" w:right="636" w:firstLine="426"/>
        <w:jc w:val="both"/>
        <w:rPr>
          <w:b w:val="0"/>
          <w:color w:val="000000" w:themeColor="text1"/>
          <w:sz w:val="20"/>
          <w:szCs w:val="20"/>
        </w:rPr>
      </w:pPr>
      <w:r w:rsidRPr="00B7499D">
        <w:rPr>
          <w:b w:val="0"/>
          <w:color w:val="000000" w:themeColor="text1"/>
          <w:sz w:val="20"/>
          <w:szCs w:val="20"/>
        </w:rPr>
        <w:t>Based on the table above, the results are described as follows:</w:t>
      </w:r>
    </w:p>
    <w:p w14:paraId="641C540A" w14:textId="4F4A611E" w:rsidR="00B7499D" w:rsidRPr="00B7499D" w:rsidRDefault="00B7499D" w:rsidP="00E512A2">
      <w:pPr>
        <w:pStyle w:val="Heading1"/>
        <w:numPr>
          <w:ilvl w:val="1"/>
          <w:numId w:val="11"/>
        </w:numPr>
        <w:tabs>
          <w:tab w:val="left" w:pos="-7938"/>
        </w:tabs>
        <w:spacing w:before="1" w:line="288" w:lineRule="auto"/>
        <w:ind w:left="284" w:right="636" w:hanging="284"/>
        <w:jc w:val="both"/>
        <w:rPr>
          <w:b w:val="0"/>
          <w:color w:val="000000" w:themeColor="text1"/>
          <w:sz w:val="20"/>
          <w:szCs w:val="20"/>
        </w:rPr>
      </w:pPr>
      <w:r w:rsidRPr="00B7499D">
        <w:rPr>
          <w:b w:val="0"/>
          <w:color w:val="000000" w:themeColor="text1"/>
          <w:sz w:val="20"/>
          <w:szCs w:val="20"/>
        </w:rPr>
        <w:t>The results of the descriptive analysis of the company size variable obtained a total of 68 data, with a maximum value (max) of 21.17 and a minimum value (min) of 5.57 with an average (mean) of 16,2137 and a standard deviation of 2,73662. .</w:t>
      </w:r>
    </w:p>
    <w:p w14:paraId="2DD0F54D" w14:textId="737C9583" w:rsidR="00B7499D" w:rsidRPr="00B7499D" w:rsidRDefault="00B7499D" w:rsidP="00E512A2">
      <w:pPr>
        <w:pStyle w:val="Heading1"/>
        <w:numPr>
          <w:ilvl w:val="1"/>
          <w:numId w:val="11"/>
        </w:numPr>
        <w:tabs>
          <w:tab w:val="left" w:pos="-7938"/>
        </w:tabs>
        <w:spacing w:before="1" w:line="288" w:lineRule="auto"/>
        <w:ind w:left="284" w:right="636" w:hanging="284"/>
        <w:jc w:val="both"/>
        <w:rPr>
          <w:b w:val="0"/>
          <w:color w:val="000000" w:themeColor="text1"/>
          <w:sz w:val="20"/>
          <w:szCs w:val="20"/>
        </w:rPr>
      </w:pPr>
      <w:r w:rsidRPr="00B7499D">
        <w:rPr>
          <w:b w:val="0"/>
          <w:color w:val="000000" w:themeColor="text1"/>
          <w:sz w:val="20"/>
          <w:szCs w:val="20"/>
        </w:rPr>
        <w:t>The results of the descriptive analysis of the profitability variable with 68 data have a maximum value (max) of 46.66 and a minimum value (min) of 0.01 with an average (mean) of 9.6915 and a standard deviation of 11,19519.</w:t>
      </w:r>
    </w:p>
    <w:p w14:paraId="04BC797B" w14:textId="77777777" w:rsidR="00B7499D" w:rsidRDefault="00B7499D" w:rsidP="00E512A2">
      <w:pPr>
        <w:pStyle w:val="Heading1"/>
        <w:numPr>
          <w:ilvl w:val="1"/>
          <w:numId w:val="11"/>
        </w:numPr>
        <w:tabs>
          <w:tab w:val="left" w:pos="-7938"/>
        </w:tabs>
        <w:spacing w:before="1" w:line="288" w:lineRule="auto"/>
        <w:ind w:left="284" w:right="636" w:hanging="284"/>
        <w:jc w:val="both"/>
        <w:rPr>
          <w:b w:val="0"/>
          <w:color w:val="000000" w:themeColor="text1"/>
          <w:sz w:val="20"/>
          <w:szCs w:val="20"/>
        </w:rPr>
      </w:pPr>
      <w:r w:rsidRPr="00B7499D">
        <w:rPr>
          <w:b w:val="0"/>
          <w:color w:val="000000" w:themeColor="text1"/>
          <w:sz w:val="20"/>
          <w:szCs w:val="20"/>
        </w:rPr>
        <w:t>The results of the descriptive analysis of the audit delay variable with the same amount of data are 68, have a maximum value (max) of 113.00 and a minimum value (min) of 29.00 with an average of 73.7500 and a standard deviation of 16.86237.</w:t>
      </w:r>
    </w:p>
    <w:p w14:paraId="3A8C363A" w14:textId="338B5EB1" w:rsidR="00B7499D" w:rsidRPr="00B7499D" w:rsidRDefault="00B7499D" w:rsidP="00E512A2">
      <w:pPr>
        <w:pStyle w:val="Heading1"/>
        <w:numPr>
          <w:ilvl w:val="1"/>
          <w:numId w:val="11"/>
        </w:numPr>
        <w:tabs>
          <w:tab w:val="left" w:pos="-7938"/>
        </w:tabs>
        <w:spacing w:before="1" w:line="288" w:lineRule="auto"/>
        <w:ind w:left="284" w:right="636" w:hanging="284"/>
        <w:jc w:val="both"/>
        <w:rPr>
          <w:b w:val="0"/>
          <w:color w:val="000000" w:themeColor="text1"/>
          <w:sz w:val="20"/>
          <w:szCs w:val="20"/>
        </w:rPr>
      </w:pPr>
      <w:r w:rsidRPr="00B7499D">
        <w:rPr>
          <w:b w:val="0"/>
          <w:color w:val="000000" w:themeColor="text1"/>
          <w:sz w:val="20"/>
          <w:szCs w:val="20"/>
        </w:rPr>
        <w:t>The KAP size factor is assigned a dummy value of 0 for KAPs that are not affiliated with the big four KAPs and a dummy value of 1 for KAPs affiliated with the big four KAPs. The results of descriptive statistics show that as many as 17 samples or 25.0% of all samples were audited by KAPs not affiliated with the big four KAPs and as many as 51 samples or 75.0% of all samples were audited by KAPs affiliated with the big four KAPs.</w:t>
      </w:r>
    </w:p>
    <w:p w14:paraId="5A14BE1E" w14:textId="63C84349" w:rsidR="00B7499D" w:rsidRDefault="00B7499D" w:rsidP="009171FA">
      <w:pPr>
        <w:pStyle w:val="Heading1"/>
        <w:tabs>
          <w:tab w:val="left" w:pos="-7938"/>
        </w:tabs>
        <w:spacing w:before="1" w:line="288" w:lineRule="auto"/>
        <w:ind w:left="0" w:right="636" w:firstLine="0"/>
        <w:jc w:val="both"/>
        <w:rPr>
          <w:b w:val="0"/>
          <w:color w:val="000000" w:themeColor="text1"/>
          <w:sz w:val="22"/>
          <w:szCs w:val="22"/>
        </w:rPr>
      </w:pPr>
    </w:p>
    <w:p w14:paraId="780E356A" w14:textId="4E57C136" w:rsidR="00B7499D" w:rsidRDefault="00830815" w:rsidP="009171FA">
      <w:pPr>
        <w:pStyle w:val="Heading1"/>
        <w:tabs>
          <w:tab w:val="left" w:pos="-7938"/>
        </w:tabs>
        <w:spacing w:before="1" w:line="288" w:lineRule="auto"/>
        <w:ind w:left="0" w:right="636" w:firstLine="0"/>
        <w:jc w:val="both"/>
        <w:rPr>
          <w:color w:val="000000" w:themeColor="text1"/>
          <w:sz w:val="22"/>
          <w:szCs w:val="22"/>
        </w:rPr>
      </w:pPr>
      <w:r w:rsidRPr="00830815">
        <w:rPr>
          <w:color w:val="000000" w:themeColor="text1"/>
          <w:sz w:val="22"/>
          <w:szCs w:val="22"/>
        </w:rPr>
        <w:t>B. Classic assumption test</w:t>
      </w:r>
    </w:p>
    <w:p w14:paraId="179C1654" w14:textId="0F8795F3" w:rsidR="00830815" w:rsidRPr="00830815" w:rsidRDefault="00830815" w:rsidP="009171FA">
      <w:pPr>
        <w:pStyle w:val="Heading1"/>
        <w:tabs>
          <w:tab w:val="left" w:pos="-7938"/>
        </w:tabs>
        <w:spacing w:before="1" w:line="288" w:lineRule="auto"/>
        <w:ind w:left="0" w:right="636" w:firstLine="0"/>
        <w:jc w:val="both"/>
        <w:rPr>
          <w:color w:val="000000" w:themeColor="text1"/>
          <w:sz w:val="20"/>
          <w:szCs w:val="20"/>
        </w:rPr>
      </w:pPr>
      <w:r w:rsidRPr="00830815">
        <w:rPr>
          <w:color w:val="000000" w:themeColor="text1"/>
          <w:sz w:val="20"/>
          <w:szCs w:val="20"/>
        </w:rPr>
        <w:t>1. Normality test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15"/>
        <w:gridCol w:w="1369"/>
        <w:gridCol w:w="1396"/>
      </w:tblGrid>
      <w:tr w:rsidR="00830815" w:rsidRPr="00830815" w14:paraId="6ED321EE" w14:textId="77777777" w:rsidTr="00830815">
        <w:trPr>
          <w:cantSplit/>
        </w:trPr>
        <w:tc>
          <w:tcPr>
            <w:tcW w:w="5000" w:type="pct"/>
            <w:gridSpan w:val="3"/>
            <w:tcBorders>
              <w:top w:val="nil"/>
              <w:left w:val="nil"/>
              <w:bottom w:val="nil"/>
              <w:right w:val="nil"/>
            </w:tcBorders>
            <w:shd w:val="clear" w:color="auto" w:fill="auto"/>
            <w:vAlign w:val="center"/>
          </w:tcPr>
          <w:p w14:paraId="6D47995B" w14:textId="6FC2F0A0" w:rsidR="00830815" w:rsidRPr="00830815" w:rsidRDefault="00830815" w:rsidP="003A1542">
            <w:pPr>
              <w:adjustRightInd w:val="0"/>
              <w:ind w:left="60" w:right="60"/>
              <w:jc w:val="center"/>
              <w:rPr>
                <w:rFonts w:ascii="Arial" w:hAnsi="Arial" w:cs="Arial"/>
                <w:sz w:val="16"/>
                <w:szCs w:val="16"/>
              </w:rPr>
            </w:pPr>
            <w:r>
              <w:rPr>
                <w:rFonts w:ascii="Arial" w:hAnsi="Arial" w:cs="Arial"/>
                <w:b/>
                <w:bCs/>
                <w:sz w:val="16"/>
                <w:szCs w:val="16"/>
              </w:rPr>
              <w:t xml:space="preserve">Table 2. </w:t>
            </w:r>
            <w:r w:rsidRPr="00830815">
              <w:rPr>
                <w:rFonts w:ascii="Arial" w:hAnsi="Arial" w:cs="Arial"/>
                <w:b/>
                <w:bCs/>
                <w:sz w:val="16"/>
                <w:szCs w:val="16"/>
              </w:rPr>
              <w:t>One-Sample Kolmogorov-Smirnov Test</w:t>
            </w:r>
          </w:p>
        </w:tc>
      </w:tr>
      <w:tr w:rsidR="00830815" w:rsidRPr="00830815" w14:paraId="1EEE9A3F" w14:textId="77777777" w:rsidTr="00132145">
        <w:trPr>
          <w:cantSplit/>
        </w:trPr>
        <w:tc>
          <w:tcPr>
            <w:tcW w:w="3626"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34C99AA0" w14:textId="77777777" w:rsidR="00830815" w:rsidRPr="00830815" w:rsidRDefault="00830815" w:rsidP="003A1542">
            <w:pPr>
              <w:adjustRightInd w:val="0"/>
              <w:rPr>
                <w:rFonts w:ascii="Arial" w:hAnsi="Arial" w:cs="Arial"/>
                <w:sz w:val="16"/>
                <w:szCs w:val="16"/>
              </w:rPr>
            </w:pPr>
          </w:p>
        </w:tc>
        <w:tc>
          <w:tcPr>
            <w:tcW w:w="1374" w:type="pct"/>
            <w:tcBorders>
              <w:top w:val="single" w:sz="18" w:space="0" w:color="auto"/>
              <w:left w:val="single" w:sz="18" w:space="0" w:color="auto"/>
              <w:bottom w:val="single" w:sz="18" w:space="0" w:color="auto"/>
              <w:right w:val="single" w:sz="18" w:space="0" w:color="auto"/>
            </w:tcBorders>
            <w:shd w:val="clear" w:color="auto" w:fill="auto"/>
            <w:vAlign w:val="bottom"/>
          </w:tcPr>
          <w:p w14:paraId="353DCD02" w14:textId="77777777" w:rsidR="00830815" w:rsidRPr="00830815" w:rsidRDefault="00830815" w:rsidP="003A1542">
            <w:pPr>
              <w:adjustRightInd w:val="0"/>
              <w:ind w:left="60" w:right="60"/>
              <w:jc w:val="center"/>
              <w:rPr>
                <w:rFonts w:ascii="Arial" w:hAnsi="Arial" w:cs="Arial"/>
                <w:sz w:val="16"/>
                <w:szCs w:val="16"/>
              </w:rPr>
            </w:pPr>
            <w:r w:rsidRPr="00830815">
              <w:rPr>
                <w:rFonts w:ascii="Arial" w:hAnsi="Arial" w:cs="Arial"/>
                <w:sz w:val="16"/>
                <w:szCs w:val="16"/>
              </w:rPr>
              <w:t>Unstandardized Residual</w:t>
            </w:r>
          </w:p>
        </w:tc>
      </w:tr>
      <w:tr w:rsidR="00830815" w:rsidRPr="00830815" w14:paraId="43D86309" w14:textId="77777777" w:rsidTr="00132145">
        <w:trPr>
          <w:cantSplit/>
        </w:trPr>
        <w:tc>
          <w:tcPr>
            <w:tcW w:w="3626" w:type="pct"/>
            <w:gridSpan w:val="2"/>
            <w:tcBorders>
              <w:top w:val="single" w:sz="18" w:space="0" w:color="auto"/>
              <w:left w:val="single" w:sz="18" w:space="0" w:color="auto"/>
              <w:bottom w:val="single" w:sz="8" w:space="0" w:color="AEAEAE"/>
              <w:right w:val="single" w:sz="18" w:space="0" w:color="auto"/>
            </w:tcBorders>
            <w:shd w:val="clear" w:color="auto" w:fill="auto"/>
          </w:tcPr>
          <w:p w14:paraId="42A03888"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N</w:t>
            </w:r>
          </w:p>
        </w:tc>
        <w:tc>
          <w:tcPr>
            <w:tcW w:w="1374" w:type="pct"/>
            <w:tcBorders>
              <w:top w:val="single" w:sz="18" w:space="0" w:color="auto"/>
              <w:left w:val="single" w:sz="18" w:space="0" w:color="auto"/>
              <w:bottom w:val="single" w:sz="8" w:space="0" w:color="AEAEAE"/>
              <w:right w:val="single" w:sz="18" w:space="0" w:color="auto"/>
            </w:tcBorders>
            <w:shd w:val="clear" w:color="auto" w:fill="auto"/>
          </w:tcPr>
          <w:p w14:paraId="17A5847D"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68</w:t>
            </w:r>
          </w:p>
        </w:tc>
      </w:tr>
      <w:tr w:rsidR="00830815" w:rsidRPr="00830815" w14:paraId="36E80DE9" w14:textId="77777777" w:rsidTr="00132145">
        <w:trPr>
          <w:cantSplit/>
        </w:trPr>
        <w:tc>
          <w:tcPr>
            <w:tcW w:w="2279" w:type="pct"/>
            <w:vMerge w:val="restart"/>
            <w:tcBorders>
              <w:top w:val="single" w:sz="8" w:space="0" w:color="AEAEAE"/>
              <w:left w:val="single" w:sz="18" w:space="0" w:color="auto"/>
              <w:bottom w:val="single" w:sz="8" w:space="0" w:color="AEAEAE"/>
              <w:right w:val="nil"/>
            </w:tcBorders>
            <w:shd w:val="clear" w:color="auto" w:fill="auto"/>
          </w:tcPr>
          <w:p w14:paraId="5F5C2FE0"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Normal Parameters</w:t>
            </w:r>
            <w:r w:rsidRPr="00830815">
              <w:rPr>
                <w:rFonts w:ascii="Arial" w:hAnsi="Arial" w:cs="Arial"/>
                <w:sz w:val="16"/>
                <w:szCs w:val="16"/>
                <w:vertAlign w:val="superscript"/>
              </w:rPr>
              <w:t>a,b</w:t>
            </w:r>
          </w:p>
        </w:tc>
        <w:tc>
          <w:tcPr>
            <w:tcW w:w="1347" w:type="pct"/>
            <w:tcBorders>
              <w:top w:val="single" w:sz="8" w:space="0" w:color="AEAEAE"/>
              <w:left w:val="nil"/>
              <w:bottom w:val="single" w:sz="8" w:space="0" w:color="AEAEAE"/>
              <w:right w:val="single" w:sz="18" w:space="0" w:color="auto"/>
            </w:tcBorders>
            <w:shd w:val="clear" w:color="auto" w:fill="auto"/>
          </w:tcPr>
          <w:p w14:paraId="6EA59BE2"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Mean</w:t>
            </w:r>
          </w:p>
        </w:tc>
        <w:tc>
          <w:tcPr>
            <w:tcW w:w="1374" w:type="pct"/>
            <w:tcBorders>
              <w:top w:val="single" w:sz="8" w:space="0" w:color="AEAEAE"/>
              <w:left w:val="single" w:sz="18" w:space="0" w:color="auto"/>
              <w:bottom w:val="single" w:sz="8" w:space="0" w:color="AEAEAE"/>
              <w:right w:val="single" w:sz="18" w:space="0" w:color="auto"/>
            </w:tcBorders>
            <w:shd w:val="clear" w:color="auto" w:fill="auto"/>
          </w:tcPr>
          <w:p w14:paraId="625A2270"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,0000000</w:t>
            </w:r>
          </w:p>
        </w:tc>
      </w:tr>
      <w:tr w:rsidR="00830815" w:rsidRPr="00830815" w14:paraId="4879D764" w14:textId="77777777" w:rsidTr="00132145">
        <w:trPr>
          <w:cantSplit/>
        </w:trPr>
        <w:tc>
          <w:tcPr>
            <w:tcW w:w="2279" w:type="pct"/>
            <w:vMerge/>
            <w:tcBorders>
              <w:top w:val="single" w:sz="8" w:space="0" w:color="AEAEAE"/>
              <w:left w:val="single" w:sz="18" w:space="0" w:color="auto"/>
              <w:bottom w:val="single" w:sz="8" w:space="0" w:color="AEAEAE"/>
              <w:right w:val="nil"/>
            </w:tcBorders>
            <w:shd w:val="clear" w:color="auto" w:fill="auto"/>
          </w:tcPr>
          <w:p w14:paraId="7F6A7AB5" w14:textId="77777777" w:rsidR="00830815" w:rsidRPr="00830815" w:rsidRDefault="00830815" w:rsidP="003A1542">
            <w:pPr>
              <w:adjustRightInd w:val="0"/>
              <w:rPr>
                <w:rFonts w:ascii="Arial" w:hAnsi="Arial" w:cs="Arial"/>
                <w:sz w:val="16"/>
                <w:szCs w:val="16"/>
              </w:rPr>
            </w:pPr>
          </w:p>
        </w:tc>
        <w:tc>
          <w:tcPr>
            <w:tcW w:w="1347" w:type="pct"/>
            <w:tcBorders>
              <w:top w:val="single" w:sz="8" w:space="0" w:color="AEAEAE"/>
              <w:left w:val="nil"/>
              <w:bottom w:val="single" w:sz="8" w:space="0" w:color="AEAEAE"/>
              <w:right w:val="single" w:sz="18" w:space="0" w:color="auto"/>
            </w:tcBorders>
            <w:shd w:val="clear" w:color="auto" w:fill="auto"/>
          </w:tcPr>
          <w:p w14:paraId="32F27481"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Std. Deviation</w:t>
            </w:r>
          </w:p>
        </w:tc>
        <w:tc>
          <w:tcPr>
            <w:tcW w:w="1374" w:type="pct"/>
            <w:tcBorders>
              <w:top w:val="single" w:sz="8" w:space="0" w:color="AEAEAE"/>
              <w:left w:val="single" w:sz="18" w:space="0" w:color="auto"/>
              <w:bottom w:val="single" w:sz="8" w:space="0" w:color="AEAEAE"/>
              <w:right w:val="single" w:sz="18" w:space="0" w:color="auto"/>
            </w:tcBorders>
            <w:shd w:val="clear" w:color="auto" w:fill="auto"/>
          </w:tcPr>
          <w:p w14:paraId="1A6C515B"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15,60374079</w:t>
            </w:r>
          </w:p>
        </w:tc>
      </w:tr>
      <w:tr w:rsidR="00830815" w:rsidRPr="00830815" w14:paraId="33880155" w14:textId="77777777" w:rsidTr="00132145">
        <w:trPr>
          <w:cantSplit/>
        </w:trPr>
        <w:tc>
          <w:tcPr>
            <w:tcW w:w="2279" w:type="pct"/>
            <w:vMerge w:val="restart"/>
            <w:tcBorders>
              <w:top w:val="single" w:sz="8" w:space="0" w:color="AEAEAE"/>
              <w:left w:val="single" w:sz="18" w:space="0" w:color="auto"/>
              <w:bottom w:val="single" w:sz="8" w:space="0" w:color="AEAEAE"/>
              <w:right w:val="nil"/>
            </w:tcBorders>
            <w:shd w:val="clear" w:color="auto" w:fill="auto"/>
          </w:tcPr>
          <w:p w14:paraId="0548EE2D"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Most Extreme Differences</w:t>
            </w:r>
          </w:p>
        </w:tc>
        <w:tc>
          <w:tcPr>
            <w:tcW w:w="1347" w:type="pct"/>
            <w:tcBorders>
              <w:top w:val="single" w:sz="8" w:space="0" w:color="AEAEAE"/>
              <w:left w:val="nil"/>
              <w:bottom w:val="single" w:sz="8" w:space="0" w:color="AEAEAE"/>
              <w:right w:val="single" w:sz="18" w:space="0" w:color="auto"/>
            </w:tcBorders>
            <w:shd w:val="clear" w:color="auto" w:fill="auto"/>
          </w:tcPr>
          <w:p w14:paraId="59E5D577"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Absolute</w:t>
            </w:r>
          </w:p>
        </w:tc>
        <w:tc>
          <w:tcPr>
            <w:tcW w:w="1374" w:type="pct"/>
            <w:tcBorders>
              <w:top w:val="single" w:sz="8" w:space="0" w:color="AEAEAE"/>
              <w:left w:val="single" w:sz="18" w:space="0" w:color="auto"/>
              <w:bottom w:val="single" w:sz="8" w:space="0" w:color="AEAEAE"/>
              <w:right w:val="single" w:sz="18" w:space="0" w:color="auto"/>
            </w:tcBorders>
            <w:shd w:val="clear" w:color="auto" w:fill="auto"/>
          </w:tcPr>
          <w:p w14:paraId="613B1B02"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,094</w:t>
            </w:r>
          </w:p>
        </w:tc>
      </w:tr>
      <w:tr w:rsidR="00830815" w:rsidRPr="00830815" w14:paraId="09653603" w14:textId="77777777" w:rsidTr="00132145">
        <w:trPr>
          <w:cantSplit/>
        </w:trPr>
        <w:tc>
          <w:tcPr>
            <w:tcW w:w="2279" w:type="pct"/>
            <w:vMerge/>
            <w:tcBorders>
              <w:top w:val="single" w:sz="8" w:space="0" w:color="AEAEAE"/>
              <w:left w:val="single" w:sz="18" w:space="0" w:color="auto"/>
              <w:bottom w:val="single" w:sz="8" w:space="0" w:color="AEAEAE"/>
              <w:right w:val="nil"/>
            </w:tcBorders>
            <w:shd w:val="clear" w:color="auto" w:fill="auto"/>
          </w:tcPr>
          <w:p w14:paraId="03A7D90C" w14:textId="77777777" w:rsidR="00830815" w:rsidRPr="00830815" w:rsidRDefault="00830815" w:rsidP="003A1542">
            <w:pPr>
              <w:adjustRightInd w:val="0"/>
              <w:rPr>
                <w:rFonts w:ascii="Arial" w:hAnsi="Arial" w:cs="Arial"/>
                <w:sz w:val="16"/>
                <w:szCs w:val="16"/>
              </w:rPr>
            </w:pPr>
          </w:p>
        </w:tc>
        <w:tc>
          <w:tcPr>
            <w:tcW w:w="1347" w:type="pct"/>
            <w:tcBorders>
              <w:top w:val="single" w:sz="8" w:space="0" w:color="AEAEAE"/>
              <w:left w:val="nil"/>
              <w:bottom w:val="single" w:sz="8" w:space="0" w:color="AEAEAE"/>
              <w:right w:val="single" w:sz="18" w:space="0" w:color="auto"/>
            </w:tcBorders>
            <w:shd w:val="clear" w:color="auto" w:fill="auto"/>
          </w:tcPr>
          <w:p w14:paraId="593E598E"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Positive</w:t>
            </w:r>
          </w:p>
        </w:tc>
        <w:tc>
          <w:tcPr>
            <w:tcW w:w="1374" w:type="pct"/>
            <w:tcBorders>
              <w:top w:val="single" w:sz="8" w:space="0" w:color="AEAEAE"/>
              <w:left w:val="single" w:sz="18" w:space="0" w:color="auto"/>
              <w:bottom w:val="single" w:sz="8" w:space="0" w:color="AEAEAE"/>
              <w:right w:val="single" w:sz="18" w:space="0" w:color="auto"/>
            </w:tcBorders>
            <w:shd w:val="clear" w:color="auto" w:fill="auto"/>
          </w:tcPr>
          <w:p w14:paraId="47FE7F44"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,085</w:t>
            </w:r>
          </w:p>
        </w:tc>
      </w:tr>
      <w:tr w:rsidR="00830815" w:rsidRPr="00830815" w14:paraId="6D207ADF" w14:textId="77777777" w:rsidTr="00132145">
        <w:trPr>
          <w:cantSplit/>
        </w:trPr>
        <w:tc>
          <w:tcPr>
            <w:tcW w:w="2279" w:type="pct"/>
            <w:vMerge/>
            <w:tcBorders>
              <w:top w:val="single" w:sz="8" w:space="0" w:color="AEAEAE"/>
              <w:left w:val="single" w:sz="18" w:space="0" w:color="auto"/>
              <w:bottom w:val="single" w:sz="8" w:space="0" w:color="AEAEAE"/>
              <w:right w:val="nil"/>
            </w:tcBorders>
            <w:shd w:val="clear" w:color="auto" w:fill="auto"/>
          </w:tcPr>
          <w:p w14:paraId="0AD5D08F" w14:textId="77777777" w:rsidR="00830815" w:rsidRPr="00830815" w:rsidRDefault="00830815" w:rsidP="003A1542">
            <w:pPr>
              <w:adjustRightInd w:val="0"/>
              <w:rPr>
                <w:rFonts w:ascii="Arial" w:hAnsi="Arial" w:cs="Arial"/>
                <w:sz w:val="16"/>
                <w:szCs w:val="16"/>
              </w:rPr>
            </w:pPr>
          </w:p>
        </w:tc>
        <w:tc>
          <w:tcPr>
            <w:tcW w:w="1347" w:type="pct"/>
            <w:tcBorders>
              <w:top w:val="single" w:sz="8" w:space="0" w:color="AEAEAE"/>
              <w:left w:val="nil"/>
              <w:bottom w:val="single" w:sz="8" w:space="0" w:color="AEAEAE"/>
              <w:right w:val="single" w:sz="18" w:space="0" w:color="auto"/>
            </w:tcBorders>
            <w:shd w:val="clear" w:color="auto" w:fill="auto"/>
          </w:tcPr>
          <w:p w14:paraId="47AEABA8"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Negative</w:t>
            </w:r>
          </w:p>
        </w:tc>
        <w:tc>
          <w:tcPr>
            <w:tcW w:w="1374" w:type="pct"/>
            <w:tcBorders>
              <w:top w:val="single" w:sz="8" w:space="0" w:color="AEAEAE"/>
              <w:left w:val="single" w:sz="18" w:space="0" w:color="auto"/>
              <w:bottom w:val="single" w:sz="8" w:space="0" w:color="AEAEAE"/>
              <w:right w:val="single" w:sz="18" w:space="0" w:color="auto"/>
            </w:tcBorders>
            <w:shd w:val="clear" w:color="auto" w:fill="auto"/>
          </w:tcPr>
          <w:p w14:paraId="12FC1E3B"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-,094</w:t>
            </w:r>
          </w:p>
        </w:tc>
      </w:tr>
      <w:tr w:rsidR="00830815" w:rsidRPr="00830815" w14:paraId="02B902FE" w14:textId="77777777" w:rsidTr="00132145">
        <w:trPr>
          <w:cantSplit/>
        </w:trPr>
        <w:tc>
          <w:tcPr>
            <w:tcW w:w="3626" w:type="pct"/>
            <w:gridSpan w:val="2"/>
            <w:tcBorders>
              <w:top w:val="single" w:sz="8" w:space="0" w:color="AEAEAE"/>
              <w:left w:val="single" w:sz="18" w:space="0" w:color="auto"/>
              <w:bottom w:val="single" w:sz="8" w:space="0" w:color="AEAEAE"/>
              <w:right w:val="single" w:sz="18" w:space="0" w:color="auto"/>
            </w:tcBorders>
            <w:shd w:val="clear" w:color="auto" w:fill="auto"/>
          </w:tcPr>
          <w:p w14:paraId="1216BB1F"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Test Statistic</w:t>
            </w:r>
          </w:p>
        </w:tc>
        <w:tc>
          <w:tcPr>
            <w:tcW w:w="1374" w:type="pct"/>
            <w:tcBorders>
              <w:top w:val="single" w:sz="8" w:space="0" w:color="AEAEAE"/>
              <w:left w:val="single" w:sz="18" w:space="0" w:color="auto"/>
              <w:bottom w:val="single" w:sz="8" w:space="0" w:color="AEAEAE"/>
              <w:right w:val="single" w:sz="18" w:space="0" w:color="auto"/>
            </w:tcBorders>
            <w:shd w:val="clear" w:color="auto" w:fill="auto"/>
          </w:tcPr>
          <w:p w14:paraId="0D153C5A"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,094</w:t>
            </w:r>
          </w:p>
        </w:tc>
      </w:tr>
      <w:tr w:rsidR="00830815" w:rsidRPr="00830815" w14:paraId="7D3121E9" w14:textId="77777777" w:rsidTr="00132145">
        <w:trPr>
          <w:cantSplit/>
        </w:trPr>
        <w:tc>
          <w:tcPr>
            <w:tcW w:w="3626" w:type="pct"/>
            <w:gridSpan w:val="2"/>
            <w:tcBorders>
              <w:top w:val="single" w:sz="8" w:space="0" w:color="AEAEAE"/>
              <w:left w:val="single" w:sz="18" w:space="0" w:color="auto"/>
              <w:bottom w:val="single" w:sz="18" w:space="0" w:color="auto"/>
              <w:right w:val="single" w:sz="18" w:space="0" w:color="auto"/>
            </w:tcBorders>
            <w:shd w:val="clear" w:color="auto" w:fill="auto"/>
          </w:tcPr>
          <w:p w14:paraId="0EB489E4"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Asymp. Sig. (2-tailed)</w:t>
            </w:r>
          </w:p>
        </w:tc>
        <w:tc>
          <w:tcPr>
            <w:tcW w:w="1374" w:type="pct"/>
            <w:tcBorders>
              <w:top w:val="single" w:sz="8" w:space="0" w:color="AEAEAE"/>
              <w:left w:val="single" w:sz="18" w:space="0" w:color="auto"/>
              <w:bottom w:val="single" w:sz="18" w:space="0" w:color="auto"/>
              <w:right w:val="single" w:sz="18" w:space="0" w:color="auto"/>
            </w:tcBorders>
            <w:shd w:val="clear" w:color="auto" w:fill="auto"/>
          </w:tcPr>
          <w:p w14:paraId="3F1AAB79" w14:textId="77777777" w:rsidR="00830815" w:rsidRPr="00830815" w:rsidRDefault="00830815" w:rsidP="003A1542">
            <w:pPr>
              <w:adjustRightInd w:val="0"/>
              <w:ind w:left="60" w:right="60"/>
              <w:jc w:val="right"/>
              <w:rPr>
                <w:rFonts w:ascii="Arial" w:hAnsi="Arial" w:cs="Arial"/>
                <w:sz w:val="16"/>
                <w:szCs w:val="16"/>
              </w:rPr>
            </w:pPr>
            <w:r w:rsidRPr="00830815">
              <w:rPr>
                <w:rFonts w:ascii="Arial" w:hAnsi="Arial" w:cs="Arial"/>
                <w:sz w:val="16"/>
                <w:szCs w:val="16"/>
              </w:rPr>
              <w:t>,200</w:t>
            </w:r>
            <w:r w:rsidRPr="00830815">
              <w:rPr>
                <w:rFonts w:ascii="Arial" w:hAnsi="Arial" w:cs="Arial"/>
                <w:sz w:val="16"/>
                <w:szCs w:val="16"/>
                <w:vertAlign w:val="superscript"/>
              </w:rPr>
              <w:t>c,d</w:t>
            </w:r>
          </w:p>
        </w:tc>
      </w:tr>
      <w:tr w:rsidR="00830815" w:rsidRPr="00830815" w14:paraId="48807EBC" w14:textId="77777777" w:rsidTr="00830815">
        <w:trPr>
          <w:cantSplit/>
        </w:trPr>
        <w:tc>
          <w:tcPr>
            <w:tcW w:w="5000" w:type="pct"/>
            <w:gridSpan w:val="3"/>
            <w:tcBorders>
              <w:top w:val="single" w:sz="18" w:space="0" w:color="auto"/>
              <w:left w:val="nil"/>
              <w:bottom w:val="nil"/>
              <w:right w:val="nil"/>
            </w:tcBorders>
            <w:shd w:val="clear" w:color="auto" w:fill="auto"/>
          </w:tcPr>
          <w:p w14:paraId="60EEE97E"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a. Test distribution is Normal.</w:t>
            </w:r>
          </w:p>
        </w:tc>
      </w:tr>
      <w:tr w:rsidR="00830815" w:rsidRPr="00830815" w14:paraId="5AA99930" w14:textId="77777777" w:rsidTr="00830815">
        <w:trPr>
          <w:cantSplit/>
        </w:trPr>
        <w:tc>
          <w:tcPr>
            <w:tcW w:w="5000" w:type="pct"/>
            <w:gridSpan w:val="3"/>
            <w:tcBorders>
              <w:top w:val="nil"/>
              <w:left w:val="nil"/>
              <w:bottom w:val="nil"/>
              <w:right w:val="nil"/>
            </w:tcBorders>
            <w:shd w:val="clear" w:color="auto" w:fill="auto"/>
          </w:tcPr>
          <w:p w14:paraId="048AC4B9"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b. Calculated from data.</w:t>
            </w:r>
          </w:p>
        </w:tc>
      </w:tr>
      <w:tr w:rsidR="00830815" w:rsidRPr="00830815" w14:paraId="7AB48C35" w14:textId="77777777" w:rsidTr="00830815">
        <w:trPr>
          <w:cantSplit/>
        </w:trPr>
        <w:tc>
          <w:tcPr>
            <w:tcW w:w="5000" w:type="pct"/>
            <w:gridSpan w:val="3"/>
            <w:tcBorders>
              <w:top w:val="nil"/>
              <w:left w:val="nil"/>
              <w:bottom w:val="nil"/>
              <w:right w:val="nil"/>
            </w:tcBorders>
            <w:shd w:val="clear" w:color="auto" w:fill="auto"/>
          </w:tcPr>
          <w:p w14:paraId="3766B82E"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c. Lilliefors Significance Correction.</w:t>
            </w:r>
          </w:p>
        </w:tc>
      </w:tr>
      <w:tr w:rsidR="00830815" w:rsidRPr="00830815" w14:paraId="2302C5AC" w14:textId="77777777" w:rsidTr="00830815">
        <w:trPr>
          <w:cantSplit/>
        </w:trPr>
        <w:tc>
          <w:tcPr>
            <w:tcW w:w="5000" w:type="pct"/>
            <w:gridSpan w:val="3"/>
            <w:tcBorders>
              <w:top w:val="nil"/>
              <w:left w:val="nil"/>
              <w:bottom w:val="nil"/>
              <w:right w:val="nil"/>
            </w:tcBorders>
            <w:shd w:val="clear" w:color="auto" w:fill="auto"/>
          </w:tcPr>
          <w:p w14:paraId="7B73C2BD" w14:textId="77777777" w:rsidR="00830815" w:rsidRPr="00830815" w:rsidRDefault="00830815" w:rsidP="003A1542">
            <w:pPr>
              <w:adjustRightInd w:val="0"/>
              <w:ind w:left="60" w:right="60"/>
              <w:rPr>
                <w:rFonts w:ascii="Arial" w:hAnsi="Arial" w:cs="Arial"/>
                <w:sz w:val="16"/>
                <w:szCs w:val="16"/>
              </w:rPr>
            </w:pPr>
            <w:r w:rsidRPr="00830815">
              <w:rPr>
                <w:rFonts w:ascii="Arial" w:hAnsi="Arial" w:cs="Arial"/>
                <w:sz w:val="16"/>
                <w:szCs w:val="16"/>
              </w:rPr>
              <w:t>d. This is a lower bound of the true significance.</w:t>
            </w:r>
          </w:p>
        </w:tc>
      </w:tr>
    </w:tbl>
    <w:p w14:paraId="6A1BCF5C" w14:textId="34E517E0" w:rsidR="00830815" w:rsidRDefault="00830815" w:rsidP="009171FA">
      <w:pPr>
        <w:pStyle w:val="Heading1"/>
        <w:tabs>
          <w:tab w:val="left" w:pos="-7938"/>
        </w:tabs>
        <w:spacing w:before="1" w:line="288" w:lineRule="auto"/>
        <w:ind w:left="0" w:right="636" w:firstLine="0"/>
        <w:jc w:val="both"/>
        <w:rPr>
          <w:color w:val="000000" w:themeColor="text1"/>
          <w:sz w:val="22"/>
          <w:szCs w:val="22"/>
        </w:rPr>
      </w:pPr>
    </w:p>
    <w:p w14:paraId="53D1B880" w14:textId="2EA1996A" w:rsidR="00830815" w:rsidRDefault="00830815" w:rsidP="007B54B5">
      <w:pPr>
        <w:pStyle w:val="Heading1"/>
        <w:tabs>
          <w:tab w:val="left" w:pos="-7938"/>
        </w:tabs>
        <w:spacing w:before="1" w:line="288" w:lineRule="auto"/>
        <w:ind w:left="0" w:right="-12" w:firstLine="284"/>
        <w:jc w:val="both"/>
        <w:rPr>
          <w:b w:val="0"/>
          <w:color w:val="000000" w:themeColor="text1"/>
          <w:sz w:val="20"/>
          <w:szCs w:val="20"/>
        </w:rPr>
      </w:pPr>
      <w:r w:rsidRPr="00830815">
        <w:rPr>
          <w:b w:val="0"/>
          <w:color w:val="000000" w:themeColor="text1"/>
          <w:sz w:val="20"/>
          <w:szCs w:val="20"/>
        </w:rPr>
        <w:t>The results of the normality test above show the Asymp value. Sig. (2-tailed) of 0.200 which is above the 0.05 significance level, it can be concluded that the data is normally distributed.</w:t>
      </w:r>
    </w:p>
    <w:p w14:paraId="08873733" w14:textId="0EEAA299" w:rsidR="00132145" w:rsidRDefault="00132145" w:rsidP="007B54B5">
      <w:pPr>
        <w:pStyle w:val="Heading1"/>
        <w:tabs>
          <w:tab w:val="left" w:pos="-7938"/>
        </w:tabs>
        <w:spacing w:before="1" w:line="288" w:lineRule="auto"/>
        <w:ind w:left="0" w:right="-12" w:firstLine="284"/>
        <w:jc w:val="both"/>
        <w:rPr>
          <w:b w:val="0"/>
          <w:color w:val="000000" w:themeColor="text1"/>
          <w:sz w:val="20"/>
          <w:szCs w:val="20"/>
        </w:rPr>
      </w:pPr>
    </w:p>
    <w:p w14:paraId="5A6C85B2" w14:textId="1F74AD6F" w:rsidR="00132145" w:rsidRDefault="00132145" w:rsidP="007B54B5">
      <w:pPr>
        <w:pStyle w:val="Heading1"/>
        <w:tabs>
          <w:tab w:val="left" w:pos="-7938"/>
        </w:tabs>
        <w:spacing w:before="1" w:line="288" w:lineRule="auto"/>
        <w:ind w:left="0" w:right="-12" w:firstLine="284"/>
        <w:jc w:val="both"/>
        <w:rPr>
          <w:b w:val="0"/>
          <w:color w:val="000000" w:themeColor="text1"/>
          <w:sz w:val="20"/>
          <w:szCs w:val="20"/>
        </w:rPr>
      </w:pPr>
    </w:p>
    <w:p w14:paraId="5A2E3E29" w14:textId="49D3155E" w:rsidR="00132145" w:rsidRDefault="00132145" w:rsidP="007B54B5">
      <w:pPr>
        <w:pStyle w:val="Heading1"/>
        <w:tabs>
          <w:tab w:val="left" w:pos="-7938"/>
        </w:tabs>
        <w:spacing w:before="1" w:line="288" w:lineRule="auto"/>
        <w:ind w:left="0" w:right="-12" w:firstLine="284"/>
        <w:jc w:val="both"/>
        <w:rPr>
          <w:b w:val="0"/>
          <w:color w:val="000000" w:themeColor="text1"/>
          <w:sz w:val="20"/>
          <w:szCs w:val="20"/>
        </w:rPr>
      </w:pPr>
    </w:p>
    <w:p w14:paraId="41E78CB7" w14:textId="16CF16D0" w:rsidR="00132145" w:rsidRDefault="00132145" w:rsidP="007B54B5">
      <w:pPr>
        <w:pStyle w:val="Heading1"/>
        <w:tabs>
          <w:tab w:val="left" w:pos="-7938"/>
        </w:tabs>
        <w:spacing w:before="1" w:line="288" w:lineRule="auto"/>
        <w:ind w:left="0" w:right="-12" w:firstLine="284"/>
        <w:jc w:val="both"/>
        <w:rPr>
          <w:b w:val="0"/>
          <w:color w:val="000000" w:themeColor="text1"/>
          <w:sz w:val="20"/>
          <w:szCs w:val="20"/>
        </w:rPr>
      </w:pPr>
    </w:p>
    <w:p w14:paraId="21AAF252" w14:textId="77777777" w:rsidR="00132145" w:rsidRPr="00830815" w:rsidRDefault="00132145" w:rsidP="007B54B5">
      <w:pPr>
        <w:pStyle w:val="Heading1"/>
        <w:tabs>
          <w:tab w:val="left" w:pos="-7938"/>
        </w:tabs>
        <w:spacing w:before="1" w:line="288" w:lineRule="auto"/>
        <w:ind w:left="0" w:right="-12" w:firstLine="284"/>
        <w:jc w:val="both"/>
        <w:rPr>
          <w:b w:val="0"/>
          <w:color w:val="000000" w:themeColor="text1"/>
          <w:sz w:val="20"/>
          <w:szCs w:val="20"/>
        </w:rPr>
      </w:pPr>
    </w:p>
    <w:p w14:paraId="53C0AFBA" w14:textId="4EC14AB2" w:rsidR="00187460" w:rsidRPr="00B52102" w:rsidRDefault="00187460" w:rsidP="008843E0">
      <w:pPr>
        <w:pStyle w:val="Heading1"/>
        <w:tabs>
          <w:tab w:val="left" w:pos="-7938"/>
        </w:tabs>
        <w:spacing w:before="1"/>
        <w:ind w:left="567" w:right="636" w:hanging="567"/>
        <w:jc w:val="both"/>
        <w:rPr>
          <w:color w:val="000000" w:themeColor="text1"/>
          <w:sz w:val="2"/>
          <w:szCs w:val="2"/>
          <w:lang w:val="id-ID"/>
        </w:rPr>
      </w:pPr>
      <w:r w:rsidRPr="00B52102">
        <w:rPr>
          <w:color w:val="000000" w:themeColor="text1"/>
          <w:sz w:val="2"/>
          <w:szCs w:val="2"/>
          <w:lang w:val="id-ID"/>
        </w:rPr>
        <w:t>.Classic Assumption Test</w:t>
      </w:r>
    </w:p>
    <w:p w14:paraId="1C93E25C" w14:textId="4D925E79" w:rsidR="00187460" w:rsidRPr="00B52102" w:rsidRDefault="00187460" w:rsidP="008843E0">
      <w:pPr>
        <w:pStyle w:val="Heading1"/>
        <w:tabs>
          <w:tab w:val="left" w:pos="-7938"/>
        </w:tabs>
        <w:spacing w:before="1"/>
        <w:ind w:left="567" w:right="636" w:hanging="567"/>
        <w:jc w:val="both"/>
        <w:rPr>
          <w:color w:val="000000" w:themeColor="text1"/>
          <w:sz w:val="2"/>
          <w:szCs w:val="2"/>
          <w:lang w:val="id-ID"/>
        </w:rPr>
      </w:pPr>
      <w:r w:rsidRPr="00B52102">
        <w:rPr>
          <w:color w:val="000000" w:themeColor="text1"/>
          <w:sz w:val="2"/>
          <w:szCs w:val="2"/>
          <w:lang w:val="id-ID"/>
        </w:rPr>
        <w:t>1. Normality test</w:t>
      </w:r>
    </w:p>
    <w:p w14:paraId="033F2985" w14:textId="4AFEE333" w:rsidR="00187460" w:rsidRDefault="00187460" w:rsidP="008869ED">
      <w:pPr>
        <w:pStyle w:val="Heading1"/>
        <w:tabs>
          <w:tab w:val="left" w:pos="-7938"/>
        </w:tabs>
        <w:spacing w:before="1"/>
        <w:ind w:left="567" w:right="636" w:hanging="567"/>
        <w:jc w:val="center"/>
        <w:rPr>
          <w:noProof/>
          <w:sz w:val="20"/>
          <w:szCs w:val="20"/>
        </w:rPr>
      </w:pPr>
    </w:p>
    <w:p w14:paraId="54584F48" w14:textId="338FD4E5" w:rsidR="008869ED" w:rsidRPr="00830815" w:rsidRDefault="00830815" w:rsidP="00830815">
      <w:pPr>
        <w:pStyle w:val="BodyText"/>
        <w:spacing w:before="3"/>
        <w:ind w:left="0"/>
        <w:jc w:val="both"/>
        <w:rPr>
          <w:b/>
          <w:color w:val="000000" w:themeColor="text1"/>
        </w:rPr>
      </w:pPr>
      <w:r>
        <w:rPr>
          <w:b/>
          <w:color w:val="000000" w:themeColor="text1"/>
          <w:lang w:val="id-ID"/>
        </w:rPr>
        <w:lastRenderedPageBreak/>
        <w:t xml:space="preserve">2. </w:t>
      </w:r>
      <w:r w:rsidRPr="00830815">
        <w:rPr>
          <w:b/>
          <w:color w:val="000000" w:themeColor="text1"/>
        </w:rPr>
        <w:t>Heteroscedasticity Test</w:t>
      </w:r>
    </w:p>
    <w:p w14:paraId="71E2ECA8" w14:textId="39C2CC79" w:rsidR="007C49D5" w:rsidRPr="00830815" w:rsidRDefault="00830815" w:rsidP="00C36D99">
      <w:pPr>
        <w:pStyle w:val="BodyText"/>
        <w:spacing w:before="3"/>
        <w:ind w:left="426" w:hanging="426"/>
        <w:jc w:val="both"/>
        <w:rPr>
          <w:b/>
          <w:color w:val="000000" w:themeColor="text1"/>
        </w:rPr>
      </w:pPr>
      <w:r>
        <w:rPr>
          <w:b/>
          <w:color w:val="000000" w:themeColor="text1"/>
        </w:rPr>
        <w:t xml:space="preserve"> </w:t>
      </w:r>
    </w:p>
    <w:p w14:paraId="109FA923" w14:textId="47DCBDCB" w:rsidR="003C5FAD" w:rsidRDefault="00830815" w:rsidP="007C49D5">
      <w:pPr>
        <w:pStyle w:val="BodyText"/>
        <w:spacing w:before="3"/>
        <w:ind w:left="426" w:hanging="426"/>
        <w:jc w:val="center"/>
        <w:rPr>
          <w:b/>
          <w:color w:val="000000" w:themeColor="text1"/>
          <w:sz w:val="24"/>
          <w:szCs w:val="24"/>
          <w:lang w:val="id-ID"/>
        </w:rPr>
      </w:pPr>
      <w:r w:rsidRPr="00EE50F7">
        <w:rPr>
          <w:rFonts w:ascii="Arial" w:hAnsi="Arial" w:cs="Arial"/>
          <w:noProof/>
          <w:sz w:val="24"/>
          <w:szCs w:val="24"/>
        </w:rPr>
        <w:drawing>
          <wp:inline distT="0" distB="0" distL="0" distR="0" wp14:anchorId="7A69E37E" wp14:editId="4B49554E">
            <wp:extent cx="2375994" cy="1902562"/>
            <wp:effectExtent l="0" t="0" r="571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414" cy="1906101"/>
                    </a:xfrm>
                    <a:prstGeom prst="rect">
                      <a:avLst/>
                    </a:prstGeom>
                    <a:noFill/>
                    <a:ln>
                      <a:noFill/>
                    </a:ln>
                  </pic:spPr>
                </pic:pic>
              </a:graphicData>
            </a:graphic>
          </wp:inline>
        </w:drawing>
      </w:r>
    </w:p>
    <w:p w14:paraId="58285BFC" w14:textId="3607B967" w:rsidR="003C5FAD" w:rsidRPr="007C49D5" w:rsidRDefault="007C49D5" w:rsidP="007C49D5">
      <w:pPr>
        <w:pStyle w:val="BodyText"/>
        <w:spacing w:before="3"/>
        <w:ind w:left="426" w:hanging="426"/>
        <w:jc w:val="center"/>
        <w:rPr>
          <w:b/>
          <w:color w:val="000000" w:themeColor="text1"/>
          <w:sz w:val="24"/>
          <w:szCs w:val="24"/>
          <w:lang w:val="id-ID"/>
        </w:rPr>
      </w:pPr>
      <w:r w:rsidRPr="007C49D5">
        <w:rPr>
          <w:b/>
          <w:color w:val="000000" w:themeColor="text1"/>
          <w:lang w:val="id-ID"/>
        </w:rPr>
        <w:t xml:space="preserve">Figure </w:t>
      </w:r>
      <w:r w:rsidR="00830815">
        <w:rPr>
          <w:b/>
          <w:color w:val="000000" w:themeColor="text1"/>
        </w:rPr>
        <w:t>1</w:t>
      </w:r>
      <w:r w:rsidRPr="007C49D5">
        <w:rPr>
          <w:b/>
          <w:color w:val="000000" w:themeColor="text1"/>
          <w:lang w:val="id-ID"/>
        </w:rPr>
        <w:t>. Heteroscedasticity Test Results</w:t>
      </w:r>
    </w:p>
    <w:p w14:paraId="1F5DBC33" w14:textId="77777777" w:rsidR="003C5FAD" w:rsidRDefault="003C5FAD" w:rsidP="00C36D99">
      <w:pPr>
        <w:pStyle w:val="BodyText"/>
        <w:spacing w:before="3"/>
        <w:ind w:left="426" w:hanging="426"/>
        <w:jc w:val="both"/>
        <w:rPr>
          <w:b/>
          <w:color w:val="000000" w:themeColor="text1"/>
          <w:sz w:val="24"/>
          <w:szCs w:val="24"/>
          <w:lang w:val="id-ID"/>
        </w:rPr>
      </w:pPr>
    </w:p>
    <w:p w14:paraId="6B5D3E30" w14:textId="07E3DF2C" w:rsidR="007C49D5" w:rsidRPr="00830815" w:rsidRDefault="00830815" w:rsidP="007B54B5">
      <w:pPr>
        <w:pStyle w:val="BodyText"/>
        <w:spacing w:before="3"/>
        <w:ind w:left="0" w:firstLine="284"/>
        <w:jc w:val="both"/>
        <w:rPr>
          <w:color w:val="000000" w:themeColor="text1"/>
        </w:rPr>
      </w:pPr>
      <w:r w:rsidRPr="00830815">
        <w:rPr>
          <w:color w:val="000000" w:themeColor="text1"/>
        </w:rPr>
        <w:t>The scatterplot graph above shows that there is no particular pattern on the graph. The points on the graph are relatively evenly distributed, which means that there is no heteroscedasticity disorder in the model in this study.</w:t>
      </w:r>
    </w:p>
    <w:p w14:paraId="7327AC66" w14:textId="77777777" w:rsidR="007C49D5" w:rsidRDefault="007C49D5" w:rsidP="00C36D99">
      <w:pPr>
        <w:pStyle w:val="BodyText"/>
        <w:spacing w:before="3"/>
        <w:ind w:left="426" w:hanging="426"/>
        <w:jc w:val="both"/>
        <w:rPr>
          <w:b/>
          <w:color w:val="000000" w:themeColor="text1"/>
          <w:sz w:val="24"/>
          <w:szCs w:val="24"/>
          <w:lang w:val="id-ID"/>
        </w:rPr>
      </w:pPr>
    </w:p>
    <w:p w14:paraId="540DCAA7" w14:textId="75456FAB" w:rsidR="007C49D5" w:rsidRPr="00B52102" w:rsidRDefault="00830815" w:rsidP="00C36D99">
      <w:pPr>
        <w:pStyle w:val="BodyText"/>
        <w:spacing w:before="3"/>
        <w:ind w:left="426" w:hanging="426"/>
        <w:jc w:val="both"/>
        <w:rPr>
          <w:b/>
          <w:color w:val="000000" w:themeColor="text1"/>
          <w:lang w:val="id-ID"/>
        </w:rPr>
      </w:pPr>
      <w:r>
        <w:rPr>
          <w:b/>
          <w:color w:val="000000" w:themeColor="text1"/>
          <w:lang w:val="id-ID"/>
        </w:rPr>
        <w:t>3</w:t>
      </w:r>
      <w:r w:rsidR="00B52102" w:rsidRPr="00B52102">
        <w:rPr>
          <w:b/>
          <w:color w:val="000000" w:themeColor="text1"/>
          <w:lang w:val="id-ID"/>
        </w:rPr>
        <w:t>. Multicollinearity Test</w:t>
      </w:r>
    </w:p>
    <w:p w14:paraId="68E4895D" w14:textId="3C1C0EBF" w:rsidR="00B52102" w:rsidRPr="00830815" w:rsidRDefault="00B52102" w:rsidP="00830815">
      <w:pPr>
        <w:pStyle w:val="BodyText"/>
        <w:spacing w:before="3"/>
        <w:ind w:left="0"/>
        <w:jc w:val="center"/>
        <w:rPr>
          <w:b/>
          <w:color w:val="000000" w:themeColor="text1"/>
          <w:lang w:val="id-ID"/>
        </w:rPr>
      </w:pPr>
      <w:r w:rsidRPr="00B52102">
        <w:rPr>
          <w:b/>
          <w:color w:val="000000" w:themeColor="text1"/>
          <w:lang w:val="id-ID"/>
        </w:rPr>
        <w:t>Table</w:t>
      </w:r>
      <w:r w:rsidR="00A67168">
        <w:rPr>
          <w:b/>
          <w:color w:val="000000" w:themeColor="text1"/>
          <w:lang w:val="id-ID"/>
        </w:rPr>
        <w:t xml:space="preserve"> 3</w:t>
      </w:r>
      <w:r w:rsidRPr="00B52102">
        <w:rPr>
          <w:b/>
          <w:color w:val="000000" w:themeColor="text1"/>
          <w:lang w:val="id-ID"/>
        </w:rPr>
        <w:t>.</w:t>
      </w:r>
      <w:r w:rsidR="00830815">
        <w:rPr>
          <w:b/>
          <w:color w:val="000000" w:themeColor="text1"/>
          <w:lang w:val="id-ID"/>
        </w:rPr>
        <w:t xml:space="preserve"> Multicollinearity Test Results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25"/>
        <w:gridCol w:w="2324"/>
        <w:gridCol w:w="1484"/>
        <w:gridCol w:w="947"/>
      </w:tblGrid>
      <w:tr w:rsidR="00830815" w:rsidRPr="00830815" w14:paraId="676DDA6A" w14:textId="77777777" w:rsidTr="00830815">
        <w:trPr>
          <w:cantSplit/>
        </w:trPr>
        <w:tc>
          <w:tcPr>
            <w:tcW w:w="5000" w:type="pct"/>
            <w:gridSpan w:val="4"/>
            <w:tcBorders>
              <w:top w:val="nil"/>
              <w:left w:val="nil"/>
              <w:bottom w:val="nil"/>
              <w:right w:val="nil"/>
            </w:tcBorders>
            <w:shd w:val="clear" w:color="auto" w:fill="auto"/>
            <w:vAlign w:val="center"/>
          </w:tcPr>
          <w:p w14:paraId="032617DB" w14:textId="77777777" w:rsidR="00830815" w:rsidRPr="00830815" w:rsidRDefault="00830815" w:rsidP="00830815">
            <w:pPr>
              <w:adjustRightInd w:val="0"/>
              <w:ind w:right="60"/>
              <w:jc w:val="both"/>
              <w:rPr>
                <w:rFonts w:ascii="Arial" w:hAnsi="Arial" w:cs="Arial"/>
                <w:sz w:val="16"/>
                <w:szCs w:val="16"/>
              </w:rPr>
            </w:pPr>
            <w:r w:rsidRPr="00830815">
              <w:rPr>
                <w:rFonts w:ascii="Arial" w:hAnsi="Arial" w:cs="Arial"/>
                <w:b/>
                <w:bCs/>
                <w:sz w:val="16"/>
                <w:szCs w:val="16"/>
              </w:rPr>
              <w:t xml:space="preserve">                              Coefficients</w:t>
            </w:r>
            <w:r w:rsidRPr="00830815">
              <w:rPr>
                <w:rFonts w:ascii="Arial" w:hAnsi="Arial" w:cs="Arial"/>
                <w:b/>
                <w:bCs/>
                <w:sz w:val="16"/>
                <w:szCs w:val="16"/>
                <w:vertAlign w:val="superscript"/>
              </w:rPr>
              <w:t>a</w:t>
            </w:r>
          </w:p>
        </w:tc>
      </w:tr>
      <w:tr w:rsidR="00830815" w:rsidRPr="00830815" w14:paraId="51DB9CF1" w14:textId="77777777" w:rsidTr="00830815">
        <w:trPr>
          <w:cantSplit/>
        </w:trPr>
        <w:tc>
          <w:tcPr>
            <w:tcW w:w="2607" w:type="pct"/>
            <w:gridSpan w:val="2"/>
            <w:vMerge w:val="restart"/>
            <w:tcBorders>
              <w:top w:val="single" w:sz="18" w:space="0" w:color="auto"/>
              <w:left w:val="single" w:sz="18" w:space="0" w:color="auto"/>
              <w:bottom w:val="nil"/>
              <w:right w:val="single" w:sz="18" w:space="0" w:color="auto"/>
            </w:tcBorders>
            <w:shd w:val="clear" w:color="auto" w:fill="auto"/>
            <w:vAlign w:val="bottom"/>
          </w:tcPr>
          <w:p w14:paraId="7C60F4A4" w14:textId="77777777" w:rsidR="00830815" w:rsidRPr="00830815" w:rsidRDefault="00830815" w:rsidP="00830815">
            <w:pPr>
              <w:adjustRightInd w:val="0"/>
              <w:ind w:left="60" w:right="60"/>
              <w:rPr>
                <w:rFonts w:ascii="Arial" w:hAnsi="Arial" w:cs="Arial"/>
                <w:sz w:val="16"/>
                <w:szCs w:val="16"/>
              </w:rPr>
            </w:pPr>
            <w:r w:rsidRPr="00830815">
              <w:rPr>
                <w:rFonts w:ascii="Arial" w:hAnsi="Arial" w:cs="Arial"/>
                <w:sz w:val="16"/>
                <w:szCs w:val="16"/>
              </w:rPr>
              <w:t>Model</w:t>
            </w:r>
          </w:p>
        </w:tc>
        <w:tc>
          <w:tcPr>
            <w:tcW w:w="2393" w:type="pct"/>
            <w:gridSpan w:val="2"/>
            <w:tcBorders>
              <w:top w:val="single" w:sz="18" w:space="0" w:color="auto"/>
              <w:left w:val="single" w:sz="18" w:space="0" w:color="auto"/>
              <w:bottom w:val="nil"/>
              <w:right w:val="single" w:sz="18" w:space="0" w:color="auto"/>
            </w:tcBorders>
            <w:shd w:val="clear" w:color="auto" w:fill="auto"/>
            <w:vAlign w:val="bottom"/>
          </w:tcPr>
          <w:p w14:paraId="2E962A25" w14:textId="77777777" w:rsidR="00830815" w:rsidRPr="00830815" w:rsidRDefault="00830815" w:rsidP="00830815">
            <w:pPr>
              <w:adjustRightInd w:val="0"/>
              <w:ind w:left="60" w:right="60"/>
              <w:jc w:val="center"/>
              <w:rPr>
                <w:rFonts w:ascii="Arial" w:hAnsi="Arial" w:cs="Arial"/>
                <w:sz w:val="16"/>
                <w:szCs w:val="16"/>
              </w:rPr>
            </w:pPr>
            <w:r w:rsidRPr="00830815">
              <w:rPr>
                <w:rFonts w:ascii="Arial" w:hAnsi="Arial" w:cs="Arial"/>
                <w:sz w:val="16"/>
                <w:szCs w:val="16"/>
              </w:rPr>
              <w:t>Collinearity Statistics</w:t>
            </w:r>
          </w:p>
        </w:tc>
      </w:tr>
      <w:tr w:rsidR="00830815" w:rsidRPr="00830815" w14:paraId="0F449F6E" w14:textId="77777777" w:rsidTr="00830815">
        <w:trPr>
          <w:cantSplit/>
        </w:trPr>
        <w:tc>
          <w:tcPr>
            <w:tcW w:w="2607" w:type="pct"/>
            <w:gridSpan w:val="2"/>
            <w:vMerge/>
            <w:tcBorders>
              <w:top w:val="nil"/>
              <w:left w:val="single" w:sz="18" w:space="0" w:color="auto"/>
              <w:bottom w:val="nil"/>
              <w:right w:val="single" w:sz="18" w:space="0" w:color="auto"/>
            </w:tcBorders>
            <w:shd w:val="clear" w:color="auto" w:fill="auto"/>
            <w:vAlign w:val="bottom"/>
          </w:tcPr>
          <w:p w14:paraId="712098AC" w14:textId="77777777" w:rsidR="00830815" w:rsidRPr="00830815" w:rsidRDefault="00830815" w:rsidP="00830815">
            <w:pPr>
              <w:adjustRightInd w:val="0"/>
              <w:rPr>
                <w:rFonts w:ascii="Arial" w:hAnsi="Arial" w:cs="Arial"/>
                <w:sz w:val="16"/>
                <w:szCs w:val="16"/>
              </w:rPr>
            </w:pPr>
          </w:p>
        </w:tc>
        <w:tc>
          <w:tcPr>
            <w:tcW w:w="1461" w:type="pct"/>
            <w:tcBorders>
              <w:top w:val="single" w:sz="18" w:space="0" w:color="auto"/>
              <w:left w:val="single" w:sz="18" w:space="0" w:color="auto"/>
              <w:bottom w:val="single" w:sz="8" w:space="0" w:color="152935"/>
              <w:right w:val="single" w:sz="18" w:space="0" w:color="auto"/>
            </w:tcBorders>
            <w:shd w:val="clear" w:color="auto" w:fill="auto"/>
            <w:vAlign w:val="bottom"/>
          </w:tcPr>
          <w:p w14:paraId="0A8DF77F" w14:textId="77777777" w:rsidR="00830815" w:rsidRPr="00830815" w:rsidRDefault="00830815" w:rsidP="00830815">
            <w:pPr>
              <w:adjustRightInd w:val="0"/>
              <w:ind w:left="60" w:right="60"/>
              <w:jc w:val="center"/>
              <w:rPr>
                <w:rFonts w:ascii="Arial" w:hAnsi="Arial" w:cs="Arial"/>
                <w:sz w:val="16"/>
                <w:szCs w:val="16"/>
              </w:rPr>
            </w:pPr>
            <w:r w:rsidRPr="00830815">
              <w:rPr>
                <w:rFonts w:ascii="Arial" w:hAnsi="Arial" w:cs="Arial"/>
                <w:sz w:val="16"/>
                <w:szCs w:val="16"/>
              </w:rPr>
              <w:t>Tolerance</w:t>
            </w:r>
          </w:p>
        </w:tc>
        <w:tc>
          <w:tcPr>
            <w:tcW w:w="932" w:type="pct"/>
            <w:tcBorders>
              <w:top w:val="single" w:sz="18" w:space="0" w:color="auto"/>
              <w:left w:val="single" w:sz="18" w:space="0" w:color="auto"/>
              <w:bottom w:val="single" w:sz="8" w:space="0" w:color="152935"/>
              <w:right w:val="single" w:sz="18" w:space="0" w:color="auto"/>
            </w:tcBorders>
            <w:shd w:val="clear" w:color="auto" w:fill="auto"/>
            <w:vAlign w:val="bottom"/>
          </w:tcPr>
          <w:p w14:paraId="035C841B" w14:textId="77777777" w:rsidR="00830815" w:rsidRPr="00830815" w:rsidRDefault="00830815" w:rsidP="00830815">
            <w:pPr>
              <w:adjustRightInd w:val="0"/>
              <w:ind w:left="60" w:right="60"/>
              <w:jc w:val="center"/>
              <w:rPr>
                <w:rFonts w:ascii="Arial" w:hAnsi="Arial" w:cs="Arial"/>
                <w:sz w:val="16"/>
                <w:szCs w:val="16"/>
              </w:rPr>
            </w:pPr>
            <w:r w:rsidRPr="00830815">
              <w:rPr>
                <w:rFonts w:ascii="Arial" w:hAnsi="Arial" w:cs="Arial"/>
                <w:sz w:val="16"/>
                <w:szCs w:val="16"/>
              </w:rPr>
              <w:t>VIF</w:t>
            </w:r>
          </w:p>
        </w:tc>
      </w:tr>
      <w:tr w:rsidR="00830815" w:rsidRPr="00830815" w14:paraId="66624961" w14:textId="77777777" w:rsidTr="00830815">
        <w:trPr>
          <w:cantSplit/>
        </w:trPr>
        <w:tc>
          <w:tcPr>
            <w:tcW w:w="320" w:type="pct"/>
            <w:vMerge w:val="restart"/>
            <w:tcBorders>
              <w:top w:val="single" w:sz="18" w:space="0" w:color="auto"/>
              <w:left w:val="single" w:sz="18" w:space="0" w:color="auto"/>
              <w:bottom w:val="single" w:sz="8" w:space="0" w:color="152935"/>
              <w:right w:val="nil"/>
            </w:tcBorders>
            <w:shd w:val="clear" w:color="auto" w:fill="auto"/>
          </w:tcPr>
          <w:p w14:paraId="56A50B76" w14:textId="77777777" w:rsidR="00830815" w:rsidRPr="00830815" w:rsidRDefault="00830815" w:rsidP="00830815">
            <w:pPr>
              <w:adjustRightInd w:val="0"/>
              <w:ind w:left="60" w:right="60"/>
              <w:rPr>
                <w:rFonts w:ascii="Arial" w:hAnsi="Arial" w:cs="Arial"/>
                <w:sz w:val="16"/>
                <w:szCs w:val="16"/>
              </w:rPr>
            </w:pPr>
            <w:r w:rsidRPr="00830815">
              <w:rPr>
                <w:rFonts w:ascii="Arial" w:hAnsi="Arial" w:cs="Arial"/>
                <w:sz w:val="16"/>
                <w:szCs w:val="16"/>
              </w:rPr>
              <w:t>1</w:t>
            </w:r>
          </w:p>
        </w:tc>
        <w:tc>
          <w:tcPr>
            <w:tcW w:w="2287" w:type="pct"/>
            <w:tcBorders>
              <w:top w:val="single" w:sz="18" w:space="0" w:color="auto"/>
              <w:left w:val="nil"/>
              <w:bottom w:val="single" w:sz="8" w:space="0" w:color="AEAEAE"/>
              <w:right w:val="single" w:sz="18" w:space="0" w:color="auto"/>
            </w:tcBorders>
            <w:shd w:val="clear" w:color="auto" w:fill="auto"/>
          </w:tcPr>
          <w:p w14:paraId="14B5992B" w14:textId="77777777" w:rsidR="00830815" w:rsidRPr="00830815" w:rsidRDefault="00830815" w:rsidP="00830815">
            <w:pPr>
              <w:adjustRightInd w:val="0"/>
              <w:ind w:left="60" w:right="60"/>
              <w:rPr>
                <w:rFonts w:ascii="Arial" w:hAnsi="Arial" w:cs="Arial"/>
                <w:sz w:val="16"/>
                <w:szCs w:val="16"/>
              </w:rPr>
            </w:pPr>
            <w:r w:rsidRPr="00830815">
              <w:rPr>
                <w:rFonts w:ascii="Arial" w:hAnsi="Arial" w:cs="Arial"/>
                <w:sz w:val="16"/>
                <w:szCs w:val="16"/>
              </w:rPr>
              <w:t>(Constant)</w:t>
            </w:r>
          </w:p>
        </w:tc>
        <w:tc>
          <w:tcPr>
            <w:tcW w:w="1461" w:type="pct"/>
            <w:tcBorders>
              <w:top w:val="single" w:sz="18" w:space="0" w:color="auto"/>
              <w:left w:val="single" w:sz="18" w:space="0" w:color="auto"/>
              <w:bottom w:val="single" w:sz="8" w:space="0" w:color="AEAEAE"/>
              <w:right w:val="single" w:sz="18" w:space="0" w:color="auto"/>
            </w:tcBorders>
            <w:shd w:val="clear" w:color="auto" w:fill="auto"/>
            <w:vAlign w:val="center"/>
          </w:tcPr>
          <w:p w14:paraId="15C1BE4C" w14:textId="77777777" w:rsidR="00830815" w:rsidRPr="00830815" w:rsidRDefault="00830815" w:rsidP="00830815">
            <w:pPr>
              <w:adjustRightInd w:val="0"/>
              <w:rPr>
                <w:rFonts w:ascii="Arial" w:hAnsi="Arial" w:cs="Arial"/>
                <w:sz w:val="16"/>
                <w:szCs w:val="16"/>
              </w:rPr>
            </w:pPr>
          </w:p>
        </w:tc>
        <w:tc>
          <w:tcPr>
            <w:tcW w:w="932" w:type="pct"/>
            <w:tcBorders>
              <w:top w:val="single" w:sz="18" w:space="0" w:color="auto"/>
              <w:left w:val="single" w:sz="18" w:space="0" w:color="auto"/>
              <w:bottom w:val="single" w:sz="8" w:space="0" w:color="AEAEAE"/>
              <w:right w:val="single" w:sz="18" w:space="0" w:color="auto"/>
            </w:tcBorders>
            <w:shd w:val="clear" w:color="auto" w:fill="auto"/>
            <w:vAlign w:val="center"/>
          </w:tcPr>
          <w:p w14:paraId="44AE1B83" w14:textId="77777777" w:rsidR="00830815" w:rsidRPr="00830815" w:rsidRDefault="00830815" w:rsidP="00830815">
            <w:pPr>
              <w:adjustRightInd w:val="0"/>
              <w:rPr>
                <w:rFonts w:ascii="Arial" w:hAnsi="Arial" w:cs="Arial"/>
                <w:sz w:val="16"/>
                <w:szCs w:val="16"/>
              </w:rPr>
            </w:pPr>
          </w:p>
        </w:tc>
      </w:tr>
      <w:tr w:rsidR="00830815" w:rsidRPr="00830815" w14:paraId="6435BBF7" w14:textId="77777777" w:rsidTr="00830815">
        <w:trPr>
          <w:cantSplit/>
        </w:trPr>
        <w:tc>
          <w:tcPr>
            <w:tcW w:w="320" w:type="pct"/>
            <w:vMerge/>
            <w:tcBorders>
              <w:top w:val="single" w:sz="8" w:space="0" w:color="152935"/>
              <w:left w:val="single" w:sz="18" w:space="0" w:color="auto"/>
              <w:bottom w:val="single" w:sz="8" w:space="0" w:color="152935"/>
              <w:right w:val="nil"/>
            </w:tcBorders>
            <w:shd w:val="clear" w:color="auto" w:fill="auto"/>
          </w:tcPr>
          <w:p w14:paraId="63A5F171" w14:textId="77777777" w:rsidR="00830815" w:rsidRPr="00830815" w:rsidRDefault="00830815" w:rsidP="00830815">
            <w:pPr>
              <w:adjustRightInd w:val="0"/>
              <w:rPr>
                <w:rFonts w:ascii="Arial" w:hAnsi="Arial" w:cs="Arial"/>
                <w:sz w:val="16"/>
                <w:szCs w:val="16"/>
              </w:rPr>
            </w:pPr>
          </w:p>
        </w:tc>
        <w:tc>
          <w:tcPr>
            <w:tcW w:w="2287" w:type="pct"/>
            <w:tcBorders>
              <w:top w:val="single" w:sz="8" w:space="0" w:color="AEAEAE"/>
              <w:left w:val="nil"/>
              <w:bottom w:val="single" w:sz="8" w:space="0" w:color="AEAEAE"/>
              <w:right w:val="single" w:sz="18" w:space="0" w:color="auto"/>
            </w:tcBorders>
            <w:shd w:val="clear" w:color="auto" w:fill="auto"/>
          </w:tcPr>
          <w:p w14:paraId="702C68C5" w14:textId="581CC8DB" w:rsidR="00830815" w:rsidRPr="00830815" w:rsidRDefault="00830815" w:rsidP="00830815">
            <w:pPr>
              <w:adjustRightInd w:val="0"/>
              <w:ind w:left="60" w:right="60"/>
              <w:rPr>
                <w:rFonts w:ascii="Arial" w:hAnsi="Arial" w:cs="Arial"/>
                <w:sz w:val="16"/>
                <w:szCs w:val="16"/>
              </w:rPr>
            </w:pPr>
            <w:r w:rsidRPr="00B7499D">
              <w:rPr>
                <w:rFonts w:ascii="Arial" w:hAnsi="Arial" w:cs="Arial"/>
                <w:sz w:val="16"/>
                <w:szCs w:val="16"/>
              </w:rPr>
              <w:t>Company Size</w:t>
            </w:r>
          </w:p>
        </w:tc>
        <w:tc>
          <w:tcPr>
            <w:tcW w:w="1461" w:type="pct"/>
            <w:tcBorders>
              <w:top w:val="single" w:sz="8" w:space="0" w:color="AEAEAE"/>
              <w:left w:val="single" w:sz="18" w:space="0" w:color="auto"/>
              <w:bottom w:val="single" w:sz="8" w:space="0" w:color="AEAEAE"/>
              <w:right w:val="single" w:sz="18" w:space="0" w:color="auto"/>
            </w:tcBorders>
            <w:shd w:val="clear" w:color="auto" w:fill="auto"/>
          </w:tcPr>
          <w:p w14:paraId="72BC3CE8" w14:textId="77777777" w:rsidR="00830815" w:rsidRPr="00830815" w:rsidRDefault="00830815" w:rsidP="00830815">
            <w:pPr>
              <w:adjustRightInd w:val="0"/>
              <w:ind w:left="60" w:right="60"/>
              <w:jc w:val="right"/>
              <w:rPr>
                <w:rFonts w:ascii="Arial" w:hAnsi="Arial" w:cs="Arial"/>
                <w:sz w:val="16"/>
                <w:szCs w:val="16"/>
              </w:rPr>
            </w:pPr>
            <w:r w:rsidRPr="00830815">
              <w:rPr>
                <w:rFonts w:ascii="Arial" w:hAnsi="Arial" w:cs="Arial"/>
                <w:sz w:val="16"/>
                <w:szCs w:val="16"/>
              </w:rPr>
              <w:t>,964</w:t>
            </w:r>
          </w:p>
        </w:tc>
        <w:tc>
          <w:tcPr>
            <w:tcW w:w="932" w:type="pct"/>
            <w:tcBorders>
              <w:top w:val="single" w:sz="8" w:space="0" w:color="AEAEAE"/>
              <w:left w:val="single" w:sz="18" w:space="0" w:color="auto"/>
              <w:bottom w:val="single" w:sz="8" w:space="0" w:color="AEAEAE"/>
              <w:right w:val="single" w:sz="18" w:space="0" w:color="auto"/>
            </w:tcBorders>
            <w:shd w:val="clear" w:color="auto" w:fill="auto"/>
          </w:tcPr>
          <w:p w14:paraId="3A798D7D" w14:textId="77777777" w:rsidR="00830815" w:rsidRPr="00830815" w:rsidRDefault="00830815" w:rsidP="00830815">
            <w:pPr>
              <w:adjustRightInd w:val="0"/>
              <w:ind w:left="60" w:right="60"/>
              <w:jc w:val="right"/>
              <w:rPr>
                <w:rFonts w:ascii="Arial" w:hAnsi="Arial" w:cs="Arial"/>
                <w:sz w:val="16"/>
                <w:szCs w:val="16"/>
              </w:rPr>
            </w:pPr>
            <w:r w:rsidRPr="00830815">
              <w:rPr>
                <w:rFonts w:ascii="Arial" w:hAnsi="Arial" w:cs="Arial"/>
                <w:sz w:val="16"/>
                <w:szCs w:val="16"/>
              </w:rPr>
              <w:t>1,037</w:t>
            </w:r>
          </w:p>
        </w:tc>
      </w:tr>
      <w:tr w:rsidR="00830815" w:rsidRPr="00830815" w14:paraId="02F18AFA" w14:textId="77777777" w:rsidTr="00830815">
        <w:trPr>
          <w:cantSplit/>
        </w:trPr>
        <w:tc>
          <w:tcPr>
            <w:tcW w:w="320" w:type="pct"/>
            <w:vMerge/>
            <w:tcBorders>
              <w:top w:val="single" w:sz="8" w:space="0" w:color="152935"/>
              <w:left w:val="single" w:sz="18" w:space="0" w:color="auto"/>
              <w:bottom w:val="single" w:sz="8" w:space="0" w:color="152935"/>
              <w:right w:val="nil"/>
            </w:tcBorders>
            <w:shd w:val="clear" w:color="auto" w:fill="auto"/>
          </w:tcPr>
          <w:p w14:paraId="7C78DE79" w14:textId="77777777" w:rsidR="00830815" w:rsidRPr="00830815" w:rsidRDefault="00830815" w:rsidP="00830815">
            <w:pPr>
              <w:adjustRightInd w:val="0"/>
              <w:rPr>
                <w:rFonts w:ascii="Arial" w:hAnsi="Arial" w:cs="Arial"/>
                <w:sz w:val="16"/>
                <w:szCs w:val="16"/>
              </w:rPr>
            </w:pPr>
          </w:p>
        </w:tc>
        <w:tc>
          <w:tcPr>
            <w:tcW w:w="2287" w:type="pct"/>
            <w:tcBorders>
              <w:top w:val="single" w:sz="8" w:space="0" w:color="AEAEAE"/>
              <w:left w:val="nil"/>
              <w:bottom w:val="single" w:sz="8" w:space="0" w:color="AEAEAE"/>
              <w:right w:val="single" w:sz="18" w:space="0" w:color="auto"/>
            </w:tcBorders>
            <w:shd w:val="clear" w:color="auto" w:fill="auto"/>
          </w:tcPr>
          <w:p w14:paraId="43FBCFCD" w14:textId="44E1F7F4" w:rsidR="00830815" w:rsidRPr="00830815" w:rsidRDefault="00830815" w:rsidP="00830815">
            <w:pPr>
              <w:adjustRightInd w:val="0"/>
              <w:ind w:left="60" w:right="60"/>
              <w:rPr>
                <w:rFonts w:ascii="Arial" w:hAnsi="Arial" w:cs="Arial"/>
                <w:sz w:val="16"/>
                <w:szCs w:val="16"/>
              </w:rPr>
            </w:pPr>
            <w:r w:rsidRPr="00830815">
              <w:rPr>
                <w:rFonts w:ascii="Arial" w:hAnsi="Arial" w:cs="Arial"/>
                <w:sz w:val="16"/>
                <w:szCs w:val="16"/>
              </w:rPr>
              <w:t>KAP</w:t>
            </w:r>
            <w:r>
              <w:rPr>
                <w:rFonts w:ascii="Arial" w:hAnsi="Arial" w:cs="Arial"/>
                <w:sz w:val="16"/>
                <w:szCs w:val="16"/>
              </w:rPr>
              <w:t xml:space="preserve"> Size</w:t>
            </w:r>
          </w:p>
        </w:tc>
        <w:tc>
          <w:tcPr>
            <w:tcW w:w="1461" w:type="pct"/>
            <w:tcBorders>
              <w:top w:val="single" w:sz="8" w:space="0" w:color="AEAEAE"/>
              <w:left w:val="single" w:sz="18" w:space="0" w:color="auto"/>
              <w:bottom w:val="single" w:sz="8" w:space="0" w:color="AEAEAE"/>
              <w:right w:val="single" w:sz="18" w:space="0" w:color="auto"/>
            </w:tcBorders>
            <w:shd w:val="clear" w:color="auto" w:fill="auto"/>
          </w:tcPr>
          <w:p w14:paraId="2E5FD174" w14:textId="77777777" w:rsidR="00830815" w:rsidRPr="00830815" w:rsidRDefault="00830815" w:rsidP="00830815">
            <w:pPr>
              <w:adjustRightInd w:val="0"/>
              <w:ind w:left="60" w:right="60"/>
              <w:jc w:val="right"/>
              <w:rPr>
                <w:rFonts w:ascii="Arial" w:hAnsi="Arial" w:cs="Arial"/>
                <w:sz w:val="16"/>
                <w:szCs w:val="16"/>
              </w:rPr>
            </w:pPr>
            <w:r w:rsidRPr="00830815">
              <w:rPr>
                <w:rFonts w:ascii="Arial" w:hAnsi="Arial" w:cs="Arial"/>
                <w:sz w:val="16"/>
                <w:szCs w:val="16"/>
              </w:rPr>
              <w:t>,931</w:t>
            </w:r>
          </w:p>
        </w:tc>
        <w:tc>
          <w:tcPr>
            <w:tcW w:w="932" w:type="pct"/>
            <w:tcBorders>
              <w:top w:val="single" w:sz="8" w:space="0" w:color="AEAEAE"/>
              <w:left w:val="single" w:sz="18" w:space="0" w:color="auto"/>
              <w:bottom w:val="single" w:sz="8" w:space="0" w:color="AEAEAE"/>
              <w:right w:val="single" w:sz="18" w:space="0" w:color="auto"/>
            </w:tcBorders>
            <w:shd w:val="clear" w:color="auto" w:fill="auto"/>
          </w:tcPr>
          <w:p w14:paraId="2CF30AC9" w14:textId="77777777" w:rsidR="00830815" w:rsidRPr="00830815" w:rsidRDefault="00830815" w:rsidP="00830815">
            <w:pPr>
              <w:adjustRightInd w:val="0"/>
              <w:ind w:left="60" w:right="60"/>
              <w:jc w:val="right"/>
              <w:rPr>
                <w:rFonts w:ascii="Arial" w:hAnsi="Arial" w:cs="Arial"/>
                <w:sz w:val="16"/>
                <w:szCs w:val="16"/>
              </w:rPr>
            </w:pPr>
            <w:r w:rsidRPr="00830815">
              <w:rPr>
                <w:rFonts w:ascii="Arial" w:hAnsi="Arial" w:cs="Arial"/>
                <w:sz w:val="16"/>
                <w:szCs w:val="16"/>
              </w:rPr>
              <w:t>1,075</w:t>
            </w:r>
          </w:p>
        </w:tc>
      </w:tr>
      <w:tr w:rsidR="00830815" w:rsidRPr="00830815" w14:paraId="5E42A9B7" w14:textId="77777777" w:rsidTr="00830815">
        <w:trPr>
          <w:cantSplit/>
        </w:trPr>
        <w:tc>
          <w:tcPr>
            <w:tcW w:w="320" w:type="pct"/>
            <w:vMerge/>
            <w:tcBorders>
              <w:top w:val="single" w:sz="8" w:space="0" w:color="152935"/>
              <w:left w:val="single" w:sz="18" w:space="0" w:color="auto"/>
              <w:bottom w:val="single" w:sz="18" w:space="0" w:color="auto"/>
              <w:right w:val="nil"/>
            </w:tcBorders>
            <w:shd w:val="clear" w:color="auto" w:fill="auto"/>
          </w:tcPr>
          <w:p w14:paraId="076D5704" w14:textId="77777777" w:rsidR="00830815" w:rsidRPr="00830815" w:rsidRDefault="00830815" w:rsidP="00830815">
            <w:pPr>
              <w:adjustRightInd w:val="0"/>
              <w:rPr>
                <w:rFonts w:ascii="Arial" w:hAnsi="Arial" w:cs="Arial"/>
                <w:sz w:val="16"/>
                <w:szCs w:val="16"/>
              </w:rPr>
            </w:pPr>
          </w:p>
        </w:tc>
        <w:tc>
          <w:tcPr>
            <w:tcW w:w="2287" w:type="pct"/>
            <w:tcBorders>
              <w:top w:val="single" w:sz="8" w:space="0" w:color="AEAEAE"/>
              <w:left w:val="nil"/>
              <w:bottom w:val="single" w:sz="18" w:space="0" w:color="auto"/>
              <w:right w:val="single" w:sz="18" w:space="0" w:color="auto"/>
            </w:tcBorders>
            <w:shd w:val="clear" w:color="auto" w:fill="auto"/>
          </w:tcPr>
          <w:p w14:paraId="08AFDECB" w14:textId="35EC9528" w:rsidR="00830815" w:rsidRPr="00830815" w:rsidRDefault="00830815" w:rsidP="00830815">
            <w:pPr>
              <w:adjustRightInd w:val="0"/>
              <w:ind w:left="60" w:right="60"/>
              <w:rPr>
                <w:rFonts w:ascii="Arial" w:hAnsi="Arial" w:cs="Arial"/>
                <w:sz w:val="16"/>
                <w:szCs w:val="16"/>
              </w:rPr>
            </w:pPr>
            <w:r>
              <w:rPr>
                <w:rFonts w:ascii="Arial" w:hAnsi="Arial" w:cs="Arial"/>
                <w:sz w:val="16"/>
                <w:szCs w:val="16"/>
              </w:rPr>
              <w:t>Profitability</w:t>
            </w:r>
          </w:p>
        </w:tc>
        <w:tc>
          <w:tcPr>
            <w:tcW w:w="1461" w:type="pct"/>
            <w:tcBorders>
              <w:top w:val="single" w:sz="8" w:space="0" w:color="AEAEAE"/>
              <w:left w:val="single" w:sz="18" w:space="0" w:color="auto"/>
              <w:bottom w:val="single" w:sz="18" w:space="0" w:color="auto"/>
              <w:right w:val="single" w:sz="18" w:space="0" w:color="auto"/>
            </w:tcBorders>
            <w:shd w:val="clear" w:color="auto" w:fill="auto"/>
          </w:tcPr>
          <w:p w14:paraId="5E02CDE7" w14:textId="77777777" w:rsidR="00830815" w:rsidRPr="00830815" w:rsidRDefault="00830815" w:rsidP="00830815">
            <w:pPr>
              <w:adjustRightInd w:val="0"/>
              <w:ind w:left="60" w:right="60"/>
              <w:jc w:val="right"/>
              <w:rPr>
                <w:rFonts w:ascii="Arial" w:hAnsi="Arial" w:cs="Arial"/>
                <w:sz w:val="16"/>
                <w:szCs w:val="16"/>
              </w:rPr>
            </w:pPr>
            <w:r w:rsidRPr="00830815">
              <w:rPr>
                <w:rFonts w:ascii="Arial" w:hAnsi="Arial" w:cs="Arial"/>
                <w:sz w:val="16"/>
                <w:szCs w:val="16"/>
              </w:rPr>
              <w:t>,961</w:t>
            </w:r>
          </w:p>
        </w:tc>
        <w:tc>
          <w:tcPr>
            <w:tcW w:w="932" w:type="pct"/>
            <w:tcBorders>
              <w:top w:val="single" w:sz="8" w:space="0" w:color="AEAEAE"/>
              <w:left w:val="single" w:sz="18" w:space="0" w:color="auto"/>
              <w:bottom w:val="single" w:sz="18" w:space="0" w:color="auto"/>
              <w:right w:val="single" w:sz="18" w:space="0" w:color="auto"/>
            </w:tcBorders>
            <w:shd w:val="clear" w:color="auto" w:fill="auto"/>
          </w:tcPr>
          <w:p w14:paraId="2CA20265" w14:textId="77777777" w:rsidR="00830815" w:rsidRPr="00830815" w:rsidRDefault="00830815" w:rsidP="00830815">
            <w:pPr>
              <w:adjustRightInd w:val="0"/>
              <w:ind w:left="60" w:right="60"/>
              <w:jc w:val="right"/>
              <w:rPr>
                <w:rFonts w:ascii="Arial" w:hAnsi="Arial" w:cs="Arial"/>
                <w:sz w:val="16"/>
                <w:szCs w:val="16"/>
              </w:rPr>
            </w:pPr>
            <w:r w:rsidRPr="00830815">
              <w:rPr>
                <w:rFonts w:ascii="Arial" w:hAnsi="Arial" w:cs="Arial"/>
                <w:sz w:val="16"/>
                <w:szCs w:val="16"/>
              </w:rPr>
              <w:t>1,041</w:t>
            </w:r>
          </w:p>
        </w:tc>
      </w:tr>
      <w:tr w:rsidR="00830815" w:rsidRPr="00830815" w14:paraId="47678A5A" w14:textId="77777777" w:rsidTr="00830815">
        <w:trPr>
          <w:cantSplit/>
        </w:trPr>
        <w:tc>
          <w:tcPr>
            <w:tcW w:w="5000" w:type="pct"/>
            <w:gridSpan w:val="4"/>
            <w:tcBorders>
              <w:top w:val="nil"/>
              <w:left w:val="nil"/>
              <w:bottom w:val="nil"/>
              <w:right w:val="nil"/>
            </w:tcBorders>
            <w:shd w:val="clear" w:color="auto" w:fill="auto"/>
          </w:tcPr>
          <w:p w14:paraId="3E75C731" w14:textId="77777777" w:rsidR="00830815" w:rsidRPr="00830815" w:rsidRDefault="00830815" w:rsidP="00830815">
            <w:pPr>
              <w:adjustRightInd w:val="0"/>
              <w:ind w:left="60" w:right="60"/>
              <w:rPr>
                <w:rFonts w:ascii="Arial" w:hAnsi="Arial" w:cs="Arial"/>
                <w:sz w:val="16"/>
                <w:szCs w:val="16"/>
              </w:rPr>
            </w:pPr>
            <w:r w:rsidRPr="00830815">
              <w:rPr>
                <w:rFonts w:ascii="Arial" w:hAnsi="Arial" w:cs="Arial"/>
                <w:sz w:val="16"/>
                <w:szCs w:val="16"/>
              </w:rPr>
              <w:t>a. Dependent Variable: Audit Delay</w:t>
            </w:r>
          </w:p>
        </w:tc>
      </w:tr>
      <w:tr w:rsidR="00830815" w:rsidRPr="00830815" w14:paraId="53CC2FA1" w14:textId="77777777" w:rsidTr="00830815">
        <w:trPr>
          <w:cantSplit/>
        </w:trPr>
        <w:tc>
          <w:tcPr>
            <w:tcW w:w="5000" w:type="pct"/>
            <w:gridSpan w:val="4"/>
            <w:tcBorders>
              <w:top w:val="nil"/>
              <w:left w:val="nil"/>
              <w:bottom w:val="nil"/>
              <w:right w:val="nil"/>
            </w:tcBorders>
            <w:shd w:val="clear" w:color="auto" w:fill="auto"/>
          </w:tcPr>
          <w:p w14:paraId="6A337995" w14:textId="77777777" w:rsidR="00830815" w:rsidRPr="00830815" w:rsidRDefault="00830815" w:rsidP="00830815">
            <w:pPr>
              <w:adjustRightInd w:val="0"/>
              <w:ind w:right="60"/>
              <w:rPr>
                <w:rFonts w:ascii="Arial" w:hAnsi="Arial" w:cs="Arial"/>
                <w:sz w:val="16"/>
                <w:szCs w:val="16"/>
              </w:rPr>
            </w:pPr>
          </w:p>
        </w:tc>
      </w:tr>
      <w:tr w:rsidR="00830815" w:rsidRPr="00830815" w14:paraId="1271011E" w14:textId="77777777" w:rsidTr="00830815">
        <w:trPr>
          <w:cantSplit/>
          <w:trHeight w:val="578"/>
        </w:trPr>
        <w:tc>
          <w:tcPr>
            <w:tcW w:w="5000" w:type="pct"/>
            <w:gridSpan w:val="4"/>
            <w:tcBorders>
              <w:top w:val="nil"/>
              <w:left w:val="nil"/>
              <w:bottom w:val="nil"/>
              <w:right w:val="nil"/>
            </w:tcBorders>
            <w:shd w:val="clear" w:color="auto" w:fill="auto"/>
          </w:tcPr>
          <w:p w14:paraId="5B4C1FE8" w14:textId="5D79D93B" w:rsidR="00830815" w:rsidRPr="00830815" w:rsidRDefault="00830815" w:rsidP="007B54B5">
            <w:pPr>
              <w:adjustRightInd w:val="0"/>
              <w:ind w:right="60" w:firstLine="284"/>
              <w:jc w:val="both"/>
              <w:rPr>
                <w:sz w:val="20"/>
                <w:szCs w:val="20"/>
              </w:rPr>
            </w:pPr>
            <w:r w:rsidRPr="00830815">
              <w:rPr>
                <w:sz w:val="20"/>
                <w:szCs w:val="20"/>
              </w:rPr>
              <w:t>Based on the table above, the calculation results show that all independent variables have a Tolerance value of 0.10. The VIF value based on the calculation results shows that all independent variables have a VIF value 10. Thus, it can be concluded that all independent variables in this study do not occur multicollinearity.</w:t>
            </w:r>
          </w:p>
        </w:tc>
      </w:tr>
    </w:tbl>
    <w:p w14:paraId="3377786F" w14:textId="77777777" w:rsidR="00B52102" w:rsidRDefault="00B52102" w:rsidP="00B52102">
      <w:pPr>
        <w:pStyle w:val="BodyText"/>
        <w:spacing w:before="3"/>
        <w:ind w:left="0"/>
        <w:jc w:val="both"/>
        <w:rPr>
          <w:color w:val="000000" w:themeColor="text1"/>
          <w:lang w:val="id-ID"/>
        </w:rPr>
      </w:pPr>
    </w:p>
    <w:p w14:paraId="09540A93" w14:textId="2508568B" w:rsidR="00B52102" w:rsidRPr="00B52102" w:rsidRDefault="00B52102" w:rsidP="00B52102">
      <w:pPr>
        <w:pStyle w:val="BodyText"/>
        <w:spacing w:before="3"/>
        <w:ind w:left="0"/>
        <w:jc w:val="both"/>
        <w:rPr>
          <w:b/>
          <w:color w:val="000000" w:themeColor="text1"/>
          <w:sz w:val="22"/>
          <w:szCs w:val="22"/>
          <w:lang w:val="id-ID"/>
        </w:rPr>
      </w:pPr>
      <w:r w:rsidRPr="00B52102">
        <w:rPr>
          <w:b/>
          <w:color w:val="000000" w:themeColor="text1"/>
          <w:sz w:val="22"/>
          <w:szCs w:val="22"/>
          <w:lang w:val="id-ID"/>
        </w:rPr>
        <w:t>B. Multiple Regression Analysis</w:t>
      </w:r>
    </w:p>
    <w:p w14:paraId="22435297" w14:textId="1A530383" w:rsidR="00B52102" w:rsidRDefault="00A67168" w:rsidP="007B54B5">
      <w:pPr>
        <w:pStyle w:val="BodyText"/>
        <w:spacing w:before="3"/>
        <w:ind w:left="0" w:firstLine="284"/>
        <w:jc w:val="both"/>
        <w:rPr>
          <w:color w:val="000000" w:themeColor="text1"/>
          <w:lang w:val="id-ID"/>
        </w:rPr>
      </w:pPr>
      <w:r w:rsidRPr="00A67168">
        <w:rPr>
          <w:color w:val="000000" w:themeColor="text1"/>
          <w:lang w:val="id-ID"/>
        </w:rPr>
        <w:t>Regression coefficient testing aims to test the significance of the relationship between the independent variable (X) and the dependent variable (Y) either simultaneously (F test) or partially (t test) and also with the coefficient of determination test. The multiple linear regression model in this study is as follows:</w:t>
      </w:r>
    </w:p>
    <w:p w14:paraId="7DBA6E9C" w14:textId="77777777" w:rsidR="00A67168" w:rsidRDefault="00A67168" w:rsidP="00B52102">
      <w:pPr>
        <w:pStyle w:val="BodyText"/>
        <w:spacing w:before="3"/>
        <w:ind w:left="0"/>
        <w:jc w:val="both"/>
        <w:rPr>
          <w:color w:val="000000" w:themeColor="text1"/>
          <w:lang w:val="id-ID"/>
        </w:rPr>
      </w:pPr>
    </w:p>
    <w:p w14:paraId="4A050381" w14:textId="3522915C" w:rsidR="00A67168" w:rsidRPr="00A67168" w:rsidRDefault="00A67168" w:rsidP="007B30BE">
      <w:pPr>
        <w:pStyle w:val="BodyText"/>
        <w:spacing w:before="3"/>
        <w:ind w:left="0"/>
        <w:jc w:val="center"/>
        <w:rPr>
          <w:b/>
          <w:color w:val="000000" w:themeColor="text1"/>
          <w:lang w:val="id-ID"/>
        </w:rPr>
      </w:pPr>
      <w:r w:rsidRPr="00A67168">
        <w:rPr>
          <w:b/>
          <w:color w:val="000000" w:themeColor="text1"/>
          <w:lang w:val="id-ID"/>
        </w:rPr>
        <w:t>Table 4. Multiple Linear Regression Analysis Results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
        <w:gridCol w:w="1378"/>
        <w:gridCol w:w="853"/>
        <w:gridCol w:w="977"/>
        <w:gridCol w:w="1625"/>
      </w:tblGrid>
      <w:tr w:rsidR="007B54B5" w:rsidRPr="007B54B5" w14:paraId="1C8EDA6A" w14:textId="77777777" w:rsidTr="007B54B5">
        <w:trPr>
          <w:cantSplit/>
        </w:trPr>
        <w:tc>
          <w:tcPr>
            <w:tcW w:w="5000" w:type="pct"/>
            <w:gridSpan w:val="5"/>
            <w:tcBorders>
              <w:top w:val="nil"/>
              <w:left w:val="nil"/>
              <w:bottom w:val="nil"/>
              <w:right w:val="nil"/>
            </w:tcBorders>
            <w:shd w:val="clear" w:color="auto" w:fill="auto"/>
            <w:vAlign w:val="center"/>
          </w:tcPr>
          <w:p w14:paraId="0D29EDA7" w14:textId="77777777" w:rsidR="007B54B5" w:rsidRPr="007B54B5" w:rsidRDefault="007B54B5" w:rsidP="007B54B5">
            <w:pPr>
              <w:adjustRightInd w:val="0"/>
              <w:ind w:left="60" w:right="60"/>
              <w:rPr>
                <w:rFonts w:ascii="Arial" w:hAnsi="Arial" w:cs="Arial"/>
                <w:sz w:val="16"/>
                <w:szCs w:val="16"/>
              </w:rPr>
            </w:pPr>
            <w:r w:rsidRPr="007B54B5">
              <w:rPr>
                <w:rFonts w:ascii="Arial" w:hAnsi="Arial" w:cs="Arial"/>
                <w:b/>
                <w:bCs/>
                <w:sz w:val="16"/>
                <w:szCs w:val="16"/>
              </w:rPr>
              <w:t xml:space="preserve">                                                Coefficients</w:t>
            </w:r>
            <w:r w:rsidRPr="007B54B5">
              <w:rPr>
                <w:rFonts w:ascii="Arial" w:hAnsi="Arial" w:cs="Arial"/>
                <w:b/>
                <w:bCs/>
                <w:sz w:val="16"/>
                <w:szCs w:val="16"/>
                <w:vertAlign w:val="superscript"/>
              </w:rPr>
              <w:t>a</w:t>
            </w:r>
          </w:p>
        </w:tc>
      </w:tr>
      <w:tr w:rsidR="007B54B5" w:rsidRPr="007B54B5" w14:paraId="59F42DB2" w14:textId="77777777" w:rsidTr="007B54B5">
        <w:trPr>
          <w:cantSplit/>
        </w:trPr>
        <w:tc>
          <w:tcPr>
            <w:tcW w:w="1599" w:type="pct"/>
            <w:gridSpan w:val="2"/>
            <w:vMerge w:val="restart"/>
            <w:tcBorders>
              <w:top w:val="single" w:sz="18" w:space="0" w:color="auto"/>
              <w:left w:val="single" w:sz="18" w:space="0" w:color="auto"/>
              <w:bottom w:val="nil"/>
              <w:right w:val="single" w:sz="18" w:space="0" w:color="auto"/>
            </w:tcBorders>
            <w:shd w:val="clear" w:color="auto" w:fill="auto"/>
            <w:vAlign w:val="bottom"/>
          </w:tcPr>
          <w:p w14:paraId="2F5DD792" w14:textId="77777777" w:rsidR="007B54B5" w:rsidRPr="007B54B5" w:rsidRDefault="007B54B5" w:rsidP="007B54B5">
            <w:pPr>
              <w:adjustRightInd w:val="0"/>
              <w:ind w:left="60" w:right="60"/>
              <w:rPr>
                <w:rFonts w:ascii="Arial" w:hAnsi="Arial" w:cs="Arial"/>
                <w:sz w:val="16"/>
                <w:szCs w:val="16"/>
              </w:rPr>
            </w:pPr>
            <w:r w:rsidRPr="007B54B5">
              <w:rPr>
                <w:rFonts w:ascii="Arial" w:hAnsi="Arial" w:cs="Arial"/>
                <w:sz w:val="16"/>
                <w:szCs w:val="16"/>
              </w:rPr>
              <w:t>Model</w:t>
            </w:r>
          </w:p>
        </w:tc>
        <w:tc>
          <w:tcPr>
            <w:tcW w:w="1802" w:type="pct"/>
            <w:gridSpan w:val="2"/>
            <w:tcBorders>
              <w:top w:val="single" w:sz="18" w:space="0" w:color="auto"/>
              <w:left w:val="single" w:sz="18" w:space="0" w:color="auto"/>
              <w:bottom w:val="nil"/>
              <w:right w:val="single" w:sz="18" w:space="0" w:color="auto"/>
            </w:tcBorders>
            <w:shd w:val="clear" w:color="auto" w:fill="auto"/>
            <w:vAlign w:val="bottom"/>
          </w:tcPr>
          <w:p w14:paraId="3E23C552" w14:textId="77777777" w:rsidR="007B54B5" w:rsidRPr="007B54B5" w:rsidRDefault="007B54B5" w:rsidP="007B54B5">
            <w:pPr>
              <w:adjustRightInd w:val="0"/>
              <w:ind w:left="60" w:right="60"/>
              <w:jc w:val="center"/>
              <w:rPr>
                <w:rFonts w:ascii="Arial" w:hAnsi="Arial" w:cs="Arial"/>
                <w:sz w:val="16"/>
                <w:szCs w:val="16"/>
              </w:rPr>
            </w:pPr>
            <w:r w:rsidRPr="007B54B5">
              <w:rPr>
                <w:rFonts w:ascii="Arial" w:hAnsi="Arial" w:cs="Arial"/>
                <w:sz w:val="16"/>
                <w:szCs w:val="16"/>
              </w:rPr>
              <w:t>Unstandardized Coefficients</w:t>
            </w:r>
          </w:p>
        </w:tc>
        <w:tc>
          <w:tcPr>
            <w:tcW w:w="1600" w:type="pct"/>
            <w:tcBorders>
              <w:top w:val="single" w:sz="18" w:space="0" w:color="auto"/>
              <w:left w:val="single" w:sz="18" w:space="0" w:color="auto"/>
              <w:bottom w:val="nil"/>
              <w:right w:val="single" w:sz="18" w:space="0" w:color="auto"/>
            </w:tcBorders>
            <w:shd w:val="clear" w:color="auto" w:fill="auto"/>
            <w:vAlign w:val="bottom"/>
          </w:tcPr>
          <w:p w14:paraId="7D55A6FD" w14:textId="77777777" w:rsidR="007B54B5" w:rsidRPr="007B54B5" w:rsidRDefault="007B54B5" w:rsidP="007B54B5">
            <w:pPr>
              <w:adjustRightInd w:val="0"/>
              <w:ind w:left="60" w:right="60"/>
              <w:jc w:val="center"/>
              <w:rPr>
                <w:rFonts w:ascii="Arial" w:hAnsi="Arial" w:cs="Arial"/>
                <w:sz w:val="16"/>
                <w:szCs w:val="16"/>
              </w:rPr>
            </w:pPr>
            <w:r w:rsidRPr="007B54B5">
              <w:rPr>
                <w:rFonts w:ascii="Arial" w:hAnsi="Arial" w:cs="Arial"/>
                <w:sz w:val="16"/>
                <w:szCs w:val="16"/>
              </w:rPr>
              <w:t>Standardized Coefficients</w:t>
            </w:r>
          </w:p>
        </w:tc>
      </w:tr>
      <w:tr w:rsidR="007B54B5" w:rsidRPr="007B54B5" w14:paraId="2ED8DFDC" w14:textId="77777777" w:rsidTr="007B54B5">
        <w:trPr>
          <w:cantSplit/>
        </w:trPr>
        <w:tc>
          <w:tcPr>
            <w:tcW w:w="1599" w:type="pct"/>
            <w:gridSpan w:val="2"/>
            <w:vMerge/>
            <w:tcBorders>
              <w:top w:val="nil"/>
              <w:left w:val="single" w:sz="18" w:space="0" w:color="auto"/>
              <w:bottom w:val="single" w:sz="18" w:space="0" w:color="auto"/>
              <w:right w:val="single" w:sz="18" w:space="0" w:color="auto"/>
            </w:tcBorders>
            <w:shd w:val="clear" w:color="auto" w:fill="auto"/>
            <w:vAlign w:val="bottom"/>
          </w:tcPr>
          <w:p w14:paraId="0789F430" w14:textId="77777777" w:rsidR="007B54B5" w:rsidRPr="007B54B5" w:rsidRDefault="007B54B5" w:rsidP="007B54B5">
            <w:pPr>
              <w:adjustRightInd w:val="0"/>
              <w:rPr>
                <w:rFonts w:ascii="Arial" w:hAnsi="Arial" w:cs="Arial"/>
                <w:sz w:val="16"/>
                <w:szCs w:val="16"/>
              </w:rPr>
            </w:pPr>
          </w:p>
        </w:tc>
        <w:tc>
          <w:tcPr>
            <w:tcW w:w="840" w:type="pct"/>
            <w:tcBorders>
              <w:top w:val="single" w:sz="18" w:space="0" w:color="auto"/>
              <w:left w:val="single" w:sz="18" w:space="0" w:color="auto"/>
              <w:bottom w:val="single" w:sz="18" w:space="0" w:color="auto"/>
              <w:right w:val="single" w:sz="18" w:space="0" w:color="auto"/>
            </w:tcBorders>
            <w:shd w:val="clear" w:color="auto" w:fill="auto"/>
            <w:vAlign w:val="bottom"/>
          </w:tcPr>
          <w:p w14:paraId="526985D7" w14:textId="77777777" w:rsidR="007B54B5" w:rsidRPr="007B54B5" w:rsidRDefault="007B54B5" w:rsidP="007B54B5">
            <w:pPr>
              <w:adjustRightInd w:val="0"/>
              <w:ind w:left="60" w:right="60"/>
              <w:jc w:val="center"/>
              <w:rPr>
                <w:rFonts w:ascii="Arial" w:hAnsi="Arial" w:cs="Arial"/>
                <w:sz w:val="16"/>
                <w:szCs w:val="16"/>
              </w:rPr>
            </w:pPr>
            <w:r w:rsidRPr="007B54B5">
              <w:rPr>
                <w:rFonts w:ascii="Arial" w:hAnsi="Arial" w:cs="Arial"/>
                <w:sz w:val="16"/>
                <w:szCs w:val="16"/>
              </w:rPr>
              <w:t>B</w:t>
            </w:r>
          </w:p>
        </w:tc>
        <w:tc>
          <w:tcPr>
            <w:tcW w:w="962" w:type="pct"/>
            <w:tcBorders>
              <w:top w:val="single" w:sz="18" w:space="0" w:color="auto"/>
              <w:left w:val="single" w:sz="18" w:space="0" w:color="auto"/>
              <w:bottom w:val="single" w:sz="18" w:space="0" w:color="auto"/>
              <w:right w:val="single" w:sz="18" w:space="0" w:color="auto"/>
            </w:tcBorders>
            <w:shd w:val="clear" w:color="auto" w:fill="auto"/>
            <w:vAlign w:val="bottom"/>
          </w:tcPr>
          <w:p w14:paraId="35406FFC" w14:textId="77777777" w:rsidR="007B54B5" w:rsidRPr="007B54B5" w:rsidRDefault="007B54B5" w:rsidP="007B54B5">
            <w:pPr>
              <w:adjustRightInd w:val="0"/>
              <w:ind w:left="60" w:right="60"/>
              <w:jc w:val="center"/>
              <w:rPr>
                <w:rFonts w:ascii="Arial" w:hAnsi="Arial" w:cs="Arial"/>
                <w:sz w:val="16"/>
                <w:szCs w:val="16"/>
              </w:rPr>
            </w:pPr>
            <w:r w:rsidRPr="007B54B5">
              <w:rPr>
                <w:rFonts w:ascii="Arial" w:hAnsi="Arial" w:cs="Arial"/>
                <w:sz w:val="16"/>
                <w:szCs w:val="16"/>
              </w:rPr>
              <w:t>Std. Error</w:t>
            </w:r>
          </w:p>
        </w:tc>
        <w:tc>
          <w:tcPr>
            <w:tcW w:w="1600" w:type="pct"/>
            <w:tcBorders>
              <w:top w:val="single" w:sz="18" w:space="0" w:color="auto"/>
              <w:left w:val="single" w:sz="18" w:space="0" w:color="auto"/>
              <w:bottom w:val="single" w:sz="18" w:space="0" w:color="auto"/>
              <w:right w:val="single" w:sz="18" w:space="0" w:color="auto"/>
            </w:tcBorders>
            <w:shd w:val="clear" w:color="auto" w:fill="auto"/>
            <w:vAlign w:val="bottom"/>
          </w:tcPr>
          <w:p w14:paraId="0414D916" w14:textId="77777777" w:rsidR="007B54B5" w:rsidRPr="007B54B5" w:rsidRDefault="007B54B5" w:rsidP="007B54B5">
            <w:pPr>
              <w:adjustRightInd w:val="0"/>
              <w:ind w:left="60" w:right="60"/>
              <w:jc w:val="center"/>
              <w:rPr>
                <w:rFonts w:ascii="Arial" w:hAnsi="Arial" w:cs="Arial"/>
                <w:sz w:val="16"/>
                <w:szCs w:val="16"/>
              </w:rPr>
            </w:pPr>
            <w:r w:rsidRPr="007B54B5">
              <w:rPr>
                <w:rFonts w:ascii="Arial" w:hAnsi="Arial" w:cs="Arial"/>
                <w:sz w:val="16"/>
                <w:szCs w:val="16"/>
              </w:rPr>
              <w:t>Beta</w:t>
            </w:r>
          </w:p>
        </w:tc>
      </w:tr>
      <w:tr w:rsidR="007B54B5" w:rsidRPr="007B54B5" w14:paraId="024B5F72" w14:textId="77777777" w:rsidTr="007B54B5">
        <w:trPr>
          <w:cantSplit/>
        </w:trPr>
        <w:tc>
          <w:tcPr>
            <w:tcW w:w="243" w:type="pct"/>
            <w:vMerge w:val="restart"/>
            <w:tcBorders>
              <w:top w:val="single" w:sz="8" w:space="0" w:color="152935"/>
              <w:left w:val="single" w:sz="18" w:space="0" w:color="auto"/>
              <w:bottom w:val="single" w:sz="8" w:space="0" w:color="152935"/>
              <w:right w:val="nil"/>
            </w:tcBorders>
            <w:shd w:val="clear" w:color="auto" w:fill="auto"/>
          </w:tcPr>
          <w:p w14:paraId="5110BD9B" w14:textId="77777777" w:rsidR="007B54B5" w:rsidRPr="007B54B5" w:rsidRDefault="007B54B5" w:rsidP="007B54B5">
            <w:pPr>
              <w:adjustRightInd w:val="0"/>
              <w:ind w:left="60" w:right="60"/>
              <w:rPr>
                <w:rFonts w:ascii="Arial" w:hAnsi="Arial" w:cs="Arial"/>
                <w:sz w:val="16"/>
                <w:szCs w:val="16"/>
              </w:rPr>
            </w:pPr>
            <w:r w:rsidRPr="007B54B5">
              <w:rPr>
                <w:rFonts w:ascii="Arial" w:hAnsi="Arial" w:cs="Arial"/>
                <w:sz w:val="16"/>
                <w:szCs w:val="16"/>
              </w:rPr>
              <w:t>1</w:t>
            </w:r>
          </w:p>
        </w:tc>
        <w:tc>
          <w:tcPr>
            <w:tcW w:w="1356" w:type="pct"/>
            <w:tcBorders>
              <w:top w:val="single" w:sz="8" w:space="0" w:color="152935"/>
              <w:left w:val="nil"/>
              <w:bottom w:val="single" w:sz="8" w:space="0" w:color="AEAEAE"/>
              <w:right w:val="single" w:sz="18" w:space="0" w:color="auto"/>
            </w:tcBorders>
            <w:shd w:val="clear" w:color="auto" w:fill="auto"/>
          </w:tcPr>
          <w:p w14:paraId="0A46D67A" w14:textId="77777777" w:rsidR="007B54B5" w:rsidRPr="007B54B5" w:rsidRDefault="007B54B5" w:rsidP="007B54B5">
            <w:pPr>
              <w:adjustRightInd w:val="0"/>
              <w:ind w:left="60" w:right="60"/>
              <w:rPr>
                <w:rFonts w:ascii="Arial" w:hAnsi="Arial" w:cs="Arial"/>
                <w:sz w:val="16"/>
                <w:szCs w:val="16"/>
              </w:rPr>
            </w:pPr>
            <w:r w:rsidRPr="007B54B5">
              <w:rPr>
                <w:rFonts w:ascii="Arial" w:hAnsi="Arial" w:cs="Arial"/>
                <w:sz w:val="16"/>
                <w:szCs w:val="16"/>
              </w:rPr>
              <w:t>(Constant)</w:t>
            </w:r>
          </w:p>
        </w:tc>
        <w:tc>
          <w:tcPr>
            <w:tcW w:w="840" w:type="pct"/>
            <w:tcBorders>
              <w:top w:val="single" w:sz="8" w:space="0" w:color="152935"/>
              <w:left w:val="single" w:sz="18" w:space="0" w:color="auto"/>
              <w:bottom w:val="single" w:sz="8" w:space="0" w:color="AEAEAE"/>
              <w:right w:val="single" w:sz="18" w:space="0" w:color="auto"/>
            </w:tcBorders>
            <w:shd w:val="clear" w:color="auto" w:fill="auto"/>
          </w:tcPr>
          <w:p w14:paraId="5A9EC0C3"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52,560</w:t>
            </w:r>
          </w:p>
        </w:tc>
        <w:tc>
          <w:tcPr>
            <w:tcW w:w="962" w:type="pct"/>
            <w:tcBorders>
              <w:top w:val="single" w:sz="8" w:space="0" w:color="152935"/>
              <w:left w:val="single" w:sz="18" w:space="0" w:color="auto"/>
              <w:bottom w:val="single" w:sz="8" w:space="0" w:color="AEAEAE"/>
              <w:right w:val="single" w:sz="18" w:space="0" w:color="auto"/>
            </w:tcBorders>
            <w:shd w:val="clear" w:color="auto" w:fill="auto"/>
          </w:tcPr>
          <w:p w14:paraId="1755ECC2"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12,952</w:t>
            </w:r>
          </w:p>
        </w:tc>
        <w:tc>
          <w:tcPr>
            <w:tcW w:w="1600" w:type="pct"/>
            <w:tcBorders>
              <w:top w:val="single" w:sz="8" w:space="0" w:color="152935"/>
              <w:left w:val="single" w:sz="18" w:space="0" w:color="auto"/>
              <w:bottom w:val="single" w:sz="8" w:space="0" w:color="AEAEAE"/>
              <w:right w:val="single" w:sz="18" w:space="0" w:color="auto"/>
            </w:tcBorders>
            <w:shd w:val="clear" w:color="auto" w:fill="auto"/>
            <w:vAlign w:val="center"/>
          </w:tcPr>
          <w:p w14:paraId="566881E0" w14:textId="77777777" w:rsidR="007B54B5" w:rsidRPr="007B54B5" w:rsidRDefault="007B54B5" w:rsidP="007B54B5">
            <w:pPr>
              <w:adjustRightInd w:val="0"/>
              <w:rPr>
                <w:rFonts w:ascii="Arial" w:hAnsi="Arial" w:cs="Arial"/>
                <w:sz w:val="16"/>
                <w:szCs w:val="16"/>
              </w:rPr>
            </w:pPr>
          </w:p>
        </w:tc>
      </w:tr>
      <w:tr w:rsidR="007B54B5" w:rsidRPr="007B54B5" w14:paraId="6811A3BF" w14:textId="77777777" w:rsidTr="007B54B5">
        <w:trPr>
          <w:cantSplit/>
        </w:trPr>
        <w:tc>
          <w:tcPr>
            <w:tcW w:w="243" w:type="pct"/>
            <w:vMerge/>
            <w:tcBorders>
              <w:top w:val="single" w:sz="8" w:space="0" w:color="152935"/>
              <w:left w:val="single" w:sz="18" w:space="0" w:color="auto"/>
              <w:bottom w:val="single" w:sz="8" w:space="0" w:color="152935"/>
              <w:right w:val="nil"/>
            </w:tcBorders>
            <w:shd w:val="clear" w:color="auto" w:fill="auto"/>
          </w:tcPr>
          <w:p w14:paraId="20994F90" w14:textId="77777777" w:rsidR="007B54B5" w:rsidRPr="007B54B5" w:rsidRDefault="007B54B5" w:rsidP="007B54B5">
            <w:pPr>
              <w:adjustRightInd w:val="0"/>
              <w:rPr>
                <w:rFonts w:ascii="Arial" w:hAnsi="Arial" w:cs="Arial"/>
                <w:sz w:val="16"/>
                <w:szCs w:val="16"/>
              </w:rPr>
            </w:pPr>
          </w:p>
        </w:tc>
        <w:tc>
          <w:tcPr>
            <w:tcW w:w="1356" w:type="pct"/>
            <w:tcBorders>
              <w:top w:val="single" w:sz="8" w:space="0" w:color="AEAEAE"/>
              <w:left w:val="nil"/>
              <w:bottom w:val="single" w:sz="8" w:space="0" w:color="AEAEAE"/>
              <w:right w:val="single" w:sz="18" w:space="0" w:color="auto"/>
            </w:tcBorders>
            <w:shd w:val="clear" w:color="auto" w:fill="auto"/>
          </w:tcPr>
          <w:p w14:paraId="348E152B" w14:textId="6A25D646" w:rsidR="007B54B5" w:rsidRPr="007B54B5" w:rsidRDefault="007B54B5" w:rsidP="007B54B5">
            <w:pPr>
              <w:adjustRightInd w:val="0"/>
              <w:ind w:left="60" w:right="60"/>
              <w:rPr>
                <w:rFonts w:ascii="Arial" w:hAnsi="Arial" w:cs="Arial"/>
                <w:sz w:val="16"/>
                <w:szCs w:val="16"/>
              </w:rPr>
            </w:pPr>
            <w:r>
              <w:rPr>
                <w:rFonts w:ascii="Arial" w:hAnsi="Arial" w:cs="Arial"/>
                <w:sz w:val="16"/>
                <w:szCs w:val="16"/>
              </w:rPr>
              <w:t>Company Sze</w:t>
            </w:r>
          </w:p>
        </w:tc>
        <w:tc>
          <w:tcPr>
            <w:tcW w:w="840" w:type="pct"/>
            <w:tcBorders>
              <w:top w:val="single" w:sz="8" w:space="0" w:color="AEAEAE"/>
              <w:left w:val="single" w:sz="18" w:space="0" w:color="auto"/>
              <w:bottom w:val="single" w:sz="8" w:space="0" w:color="AEAEAE"/>
              <w:right w:val="single" w:sz="18" w:space="0" w:color="auto"/>
            </w:tcBorders>
            <w:shd w:val="clear" w:color="auto" w:fill="auto"/>
          </w:tcPr>
          <w:p w14:paraId="49CED289"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1,546</w:t>
            </w:r>
          </w:p>
        </w:tc>
        <w:tc>
          <w:tcPr>
            <w:tcW w:w="962" w:type="pct"/>
            <w:tcBorders>
              <w:top w:val="single" w:sz="8" w:space="0" w:color="AEAEAE"/>
              <w:left w:val="single" w:sz="18" w:space="0" w:color="auto"/>
              <w:bottom w:val="single" w:sz="8" w:space="0" w:color="AEAEAE"/>
              <w:right w:val="single" w:sz="18" w:space="0" w:color="auto"/>
            </w:tcBorders>
            <w:shd w:val="clear" w:color="auto" w:fill="auto"/>
          </w:tcPr>
          <w:p w14:paraId="1E6FA94A"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,726</w:t>
            </w:r>
          </w:p>
        </w:tc>
        <w:tc>
          <w:tcPr>
            <w:tcW w:w="1600" w:type="pct"/>
            <w:tcBorders>
              <w:top w:val="single" w:sz="8" w:space="0" w:color="AEAEAE"/>
              <w:left w:val="single" w:sz="18" w:space="0" w:color="auto"/>
              <w:bottom w:val="single" w:sz="8" w:space="0" w:color="AEAEAE"/>
              <w:right w:val="single" w:sz="18" w:space="0" w:color="auto"/>
            </w:tcBorders>
            <w:shd w:val="clear" w:color="auto" w:fill="auto"/>
          </w:tcPr>
          <w:p w14:paraId="3CBE355A"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,251</w:t>
            </w:r>
          </w:p>
        </w:tc>
      </w:tr>
      <w:tr w:rsidR="007B54B5" w:rsidRPr="007B54B5" w14:paraId="5353E7D7" w14:textId="77777777" w:rsidTr="007B54B5">
        <w:trPr>
          <w:cantSplit/>
        </w:trPr>
        <w:tc>
          <w:tcPr>
            <w:tcW w:w="243" w:type="pct"/>
            <w:vMerge/>
            <w:tcBorders>
              <w:top w:val="single" w:sz="8" w:space="0" w:color="152935"/>
              <w:left w:val="single" w:sz="18" w:space="0" w:color="auto"/>
              <w:bottom w:val="single" w:sz="8" w:space="0" w:color="152935"/>
              <w:right w:val="nil"/>
            </w:tcBorders>
            <w:shd w:val="clear" w:color="auto" w:fill="auto"/>
          </w:tcPr>
          <w:p w14:paraId="07C3BF5D" w14:textId="77777777" w:rsidR="007B54B5" w:rsidRPr="007B54B5" w:rsidRDefault="007B54B5" w:rsidP="007B54B5">
            <w:pPr>
              <w:adjustRightInd w:val="0"/>
              <w:rPr>
                <w:rFonts w:ascii="Arial" w:hAnsi="Arial" w:cs="Arial"/>
                <w:sz w:val="16"/>
                <w:szCs w:val="16"/>
              </w:rPr>
            </w:pPr>
          </w:p>
        </w:tc>
        <w:tc>
          <w:tcPr>
            <w:tcW w:w="1356" w:type="pct"/>
            <w:tcBorders>
              <w:top w:val="single" w:sz="8" w:space="0" w:color="AEAEAE"/>
              <w:left w:val="nil"/>
              <w:bottom w:val="single" w:sz="8" w:space="0" w:color="AEAEAE"/>
              <w:right w:val="single" w:sz="18" w:space="0" w:color="auto"/>
            </w:tcBorders>
            <w:shd w:val="clear" w:color="auto" w:fill="auto"/>
          </w:tcPr>
          <w:p w14:paraId="7B91189D" w14:textId="626BFF93" w:rsidR="007B54B5" w:rsidRPr="007B54B5" w:rsidRDefault="007B54B5" w:rsidP="007B54B5">
            <w:pPr>
              <w:adjustRightInd w:val="0"/>
              <w:ind w:left="60" w:right="60"/>
              <w:rPr>
                <w:rFonts w:ascii="Arial" w:hAnsi="Arial" w:cs="Arial"/>
                <w:sz w:val="16"/>
                <w:szCs w:val="16"/>
              </w:rPr>
            </w:pPr>
            <w:r w:rsidRPr="007B54B5">
              <w:rPr>
                <w:rFonts w:ascii="Arial" w:hAnsi="Arial" w:cs="Arial"/>
                <w:sz w:val="16"/>
                <w:szCs w:val="16"/>
              </w:rPr>
              <w:t>KAP</w:t>
            </w:r>
            <w:r>
              <w:rPr>
                <w:rFonts w:ascii="Arial" w:hAnsi="Arial" w:cs="Arial"/>
                <w:sz w:val="16"/>
                <w:szCs w:val="16"/>
              </w:rPr>
              <w:t xml:space="preserve"> Size</w:t>
            </w:r>
          </w:p>
        </w:tc>
        <w:tc>
          <w:tcPr>
            <w:tcW w:w="840" w:type="pct"/>
            <w:tcBorders>
              <w:top w:val="single" w:sz="8" w:space="0" w:color="AEAEAE"/>
              <w:left w:val="single" w:sz="18" w:space="0" w:color="auto"/>
              <w:bottom w:val="single" w:sz="8" w:space="0" w:color="AEAEAE"/>
              <w:right w:val="single" w:sz="18" w:space="0" w:color="auto"/>
            </w:tcBorders>
            <w:shd w:val="clear" w:color="auto" w:fill="auto"/>
          </w:tcPr>
          <w:p w14:paraId="086A4A55"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,576</w:t>
            </w:r>
          </w:p>
        </w:tc>
        <w:tc>
          <w:tcPr>
            <w:tcW w:w="962" w:type="pct"/>
            <w:tcBorders>
              <w:top w:val="single" w:sz="8" w:space="0" w:color="AEAEAE"/>
              <w:left w:val="single" w:sz="18" w:space="0" w:color="auto"/>
              <w:bottom w:val="single" w:sz="8" w:space="0" w:color="AEAEAE"/>
              <w:right w:val="single" w:sz="18" w:space="0" w:color="auto"/>
            </w:tcBorders>
            <w:shd w:val="clear" w:color="auto" w:fill="auto"/>
          </w:tcPr>
          <w:p w14:paraId="70B245C4"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4,635</w:t>
            </w:r>
          </w:p>
        </w:tc>
        <w:tc>
          <w:tcPr>
            <w:tcW w:w="1600" w:type="pct"/>
            <w:tcBorders>
              <w:top w:val="single" w:sz="8" w:space="0" w:color="AEAEAE"/>
              <w:left w:val="single" w:sz="18" w:space="0" w:color="auto"/>
              <w:bottom w:val="single" w:sz="8" w:space="0" w:color="AEAEAE"/>
              <w:right w:val="single" w:sz="18" w:space="0" w:color="auto"/>
            </w:tcBorders>
            <w:shd w:val="clear" w:color="auto" w:fill="auto"/>
          </w:tcPr>
          <w:p w14:paraId="022B5476"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,015</w:t>
            </w:r>
          </w:p>
        </w:tc>
      </w:tr>
      <w:tr w:rsidR="007B54B5" w:rsidRPr="007B54B5" w14:paraId="56655036" w14:textId="77777777" w:rsidTr="007B54B5">
        <w:trPr>
          <w:cantSplit/>
        </w:trPr>
        <w:tc>
          <w:tcPr>
            <w:tcW w:w="243" w:type="pct"/>
            <w:vMerge/>
            <w:tcBorders>
              <w:top w:val="single" w:sz="8" w:space="0" w:color="152935"/>
              <w:left w:val="single" w:sz="18" w:space="0" w:color="auto"/>
              <w:bottom w:val="single" w:sz="18" w:space="0" w:color="auto"/>
              <w:right w:val="nil"/>
            </w:tcBorders>
            <w:shd w:val="clear" w:color="auto" w:fill="auto"/>
          </w:tcPr>
          <w:p w14:paraId="54F20D0E" w14:textId="77777777" w:rsidR="007B54B5" w:rsidRPr="007B54B5" w:rsidRDefault="007B54B5" w:rsidP="007B54B5">
            <w:pPr>
              <w:adjustRightInd w:val="0"/>
              <w:rPr>
                <w:rFonts w:ascii="Arial" w:hAnsi="Arial" w:cs="Arial"/>
                <w:sz w:val="16"/>
                <w:szCs w:val="16"/>
              </w:rPr>
            </w:pPr>
          </w:p>
        </w:tc>
        <w:tc>
          <w:tcPr>
            <w:tcW w:w="1356" w:type="pct"/>
            <w:tcBorders>
              <w:top w:val="single" w:sz="8" w:space="0" w:color="AEAEAE"/>
              <w:left w:val="nil"/>
              <w:bottom w:val="single" w:sz="18" w:space="0" w:color="auto"/>
              <w:right w:val="single" w:sz="18" w:space="0" w:color="auto"/>
            </w:tcBorders>
            <w:shd w:val="clear" w:color="auto" w:fill="auto"/>
          </w:tcPr>
          <w:p w14:paraId="64EBBCC8" w14:textId="13DA7A4A" w:rsidR="007B54B5" w:rsidRPr="007B54B5" w:rsidRDefault="007B54B5" w:rsidP="007B54B5">
            <w:pPr>
              <w:adjustRightInd w:val="0"/>
              <w:ind w:left="60" w:right="60"/>
              <w:rPr>
                <w:rFonts w:ascii="Arial" w:hAnsi="Arial" w:cs="Arial"/>
                <w:sz w:val="16"/>
                <w:szCs w:val="16"/>
              </w:rPr>
            </w:pPr>
            <w:r>
              <w:rPr>
                <w:rFonts w:ascii="Arial" w:hAnsi="Arial" w:cs="Arial"/>
                <w:sz w:val="16"/>
                <w:szCs w:val="16"/>
              </w:rPr>
              <w:t>Profitability</w:t>
            </w:r>
          </w:p>
        </w:tc>
        <w:tc>
          <w:tcPr>
            <w:tcW w:w="840" w:type="pct"/>
            <w:tcBorders>
              <w:top w:val="single" w:sz="8" w:space="0" w:color="AEAEAE"/>
              <w:left w:val="single" w:sz="18" w:space="0" w:color="auto"/>
              <w:bottom w:val="single" w:sz="18" w:space="0" w:color="auto"/>
              <w:right w:val="single" w:sz="18" w:space="0" w:color="auto"/>
            </w:tcBorders>
            <w:shd w:val="clear" w:color="auto" w:fill="auto"/>
          </w:tcPr>
          <w:p w14:paraId="42B637AC"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-,445</w:t>
            </w:r>
          </w:p>
        </w:tc>
        <w:tc>
          <w:tcPr>
            <w:tcW w:w="962" w:type="pct"/>
            <w:tcBorders>
              <w:top w:val="single" w:sz="8" w:space="0" w:color="AEAEAE"/>
              <w:left w:val="single" w:sz="18" w:space="0" w:color="auto"/>
              <w:bottom w:val="single" w:sz="18" w:space="0" w:color="auto"/>
              <w:right w:val="single" w:sz="18" w:space="0" w:color="auto"/>
            </w:tcBorders>
            <w:shd w:val="clear" w:color="auto" w:fill="auto"/>
          </w:tcPr>
          <w:p w14:paraId="6382945A"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,178</w:t>
            </w:r>
          </w:p>
        </w:tc>
        <w:tc>
          <w:tcPr>
            <w:tcW w:w="1600" w:type="pct"/>
            <w:tcBorders>
              <w:top w:val="single" w:sz="8" w:space="0" w:color="AEAEAE"/>
              <w:left w:val="single" w:sz="18" w:space="0" w:color="auto"/>
              <w:bottom w:val="single" w:sz="18" w:space="0" w:color="auto"/>
              <w:right w:val="single" w:sz="18" w:space="0" w:color="auto"/>
            </w:tcBorders>
            <w:shd w:val="clear" w:color="auto" w:fill="auto"/>
          </w:tcPr>
          <w:p w14:paraId="23823CDB" w14:textId="77777777" w:rsidR="007B54B5" w:rsidRPr="007B54B5" w:rsidRDefault="007B54B5" w:rsidP="007B54B5">
            <w:pPr>
              <w:adjustRightInd w:val="0"/>
              <w:ind w:left="60" w:right="60"/>
              <w:jc w:val="right"/>
              <w:rPr>
                <w:rFonts w:ascii="Arial" w:hAnsi="Arial" w:cs="Arial"/>
                <w:sz w:val="16"/>
                <w:szCs w:val="16"/>
              </w:rPr>
            </w:pPr>
            <w:r w:rsidRPr="007B54B5">
              <w:rPr>
                <w:rFonts w:ascii="Arial" w:hAnsi="Arial" w:cs="Arial"/>
                <w:sz w:val="16"/>
                <w:szCs w:val="16"/>
              </w:rPr>
              <w:t>-,295</w:t>
            </w:r>
          </w:p>
        </w:tc>
      </w:tr>
      <w:tr w:rsidR="007B54B5" w:rsidRPr="007B54B5" w14:paraId="3F9A668C" w14:textId="77777777" w:rsidTr="007B54B5">
        <w:trPr>
          <w:cantSplit/>
        </w:trPr>
        <w:tc>
          <w:tcPr>
            <w:tcW w:w="5000" w:type="pct"/>
            <w:gridSpan w:val="5"/>
            <w:tcBorders>
              <w:top w:val="nil"/>
              <w:left w:val="nil"/>
              <w:bottom w:val="nil"/>
              <w:right w:val="nil"/>
            </w:tcBorders>
            <w:shd w:val="clear" w:color="auto" w:fill="auto"/>
          </w:tcPr>
          <w:p w14:paraId="07C2F95E" w14:textId="77777777" w:rsidR="007B54B5" w:rsidRPr="007B54B5" w:rsidRDefault="007B54B5" w:rsidP="007B54B5">
            <w:pPr>
              <w:adjustRightInd w:val="0"/>
              <w:ind w:left="60" w:right="60"/>
              <w:rPr>
                <w:rFonts w:ascii="Arial" w:hAnsi="Arial" w:cs="Arial"/>
                <w:sz w:val="16"/>
                <w:szCs w:val="16"/>
              </w:rPr>
            </w:pPr>
            <w:r w:rsidRPr="007B54B5">
              <w:rPr>
                <w:rFonts w:ascii="Arial" w:hAnsi="Arial" w:cs="Arial"/>
                <w:sz w:val="16"/>
                <w:szCs w:val="16"/>
              </w:rPr>
              <w:t>a. Dependent Variable: Audit Delay</w:t>
            </w:r>
          </w:p>
          <w:p w14:paraId="5DE54524" w14:textId="77777777" w:rsidR="007B54B5" w:rsidRPr="007B54B5" w:rsidRDefault="007B54B5" w:rsidP="007B54B5">
            <w:pPr>
              <w:adjustRightInd w:val="0"/>
              <w:ind w:left="60" w:right="60"/>
              <w:rPr>
                <w:rFonts w:ascii="Arial" w:hAnsi="Arial" w:cs="Arial"/>
                <w:sz w:val="16"/>
                <w:szCs w:val="16"/>
              </w:rPr>
            </w:pPr>
          </w:p>
        </w:tc>
      </w:tr>
    </w:tbl>
    <w:p w14:paraId="46B7988E" w14:textId="77777777" w:rsidR="007B30BE" w:rsidRDefault="007B30BE" w:rsidP="007B54B5">
      <w:pPr>
        <w:pStyle w:val="BodyText"/>
        <w:spacing w:before="3"/>
        <w:ind w:left="0" w:firstLine="284"/>
        <w:jc w:val="both"/>
        <w:rPr>
          <w:color w:val="000000" w:themeColor="text1"/>
          <w:lang w:val="id-ID"/>
        </w:rPr>
      </w:pPr>
      <w:r w:rsidRPr="007B30BE">
        <w:rPr>
          <w:color w:val="000000" w:themeColor="text1"/>
          <w:lang w:val="id-ID"/>
        </w:rPr>
        <w:t>From the results of multiple linear regression analysis, the linear regression equation formed is as follows:</w:t>
      </w:r>
    </w:p>
    <w:p w14:paraId="35F0439E" w14:textId="77777777" w:rsidR="007B30BE" w:rsidRDefault="007B30BE" w:rsidP="00B52102">
      <w:pPr>
        <w:pStyle w:val="BodyText"/>
        <w:spacing w:before="3"/>
        <w:ind w:left="0"/>
        <w:jc w:val="both"/>
        <w:rPr>
          <w:color w:val="000000" w:themeColor="text1"/>
          <w:lang w:val="id-ID"/>
        </w:rPr>
      </w:pPr>
    </w:p>
    <w:p w14:paraId="78823320" w14:textId="22D8AD63" w:rsidR="007B30BE" w:rsidRDefault="007B54B5" w:rsidP="007B54B5">
      <w:pPr>
        <w:pStyle w:val="BodyText"/>
        <w:spacing w:before="3"/>
        <w:ind w:left="0"/>
        <w:jc w:val="center"/>
        <w:rPr>
          <w:b/>
          <w:color w:val="000000" w:themeColor="text1"/>
          <w:lang w:val="id-ID"/>
        </w:rPr>
      </w:pPr>
      <w:r w:rsidRPr="007B54B5">
        <w:rPr>
          <w:b/>
          <w:color w:val="000000" w:themeColor="text1"/>
          <w:lang w:val="id-ID"/>
        </w:rPr>
        <w:t>Y = 52,560 + 1,546 (X1)</w:t>
      </w:r>
      <w:r>
        <w:rPr>
          <w:b/>
          <w:color w:val="000000" w:themeColor="text1"/>
          <w:lang w:val="id-ID"/>
        </w:rPr>
        <w:t xml:space="preserve"> + 0,576 (X2) – 0,445 (X3) + ε </w:t>
      </w:r>
    </w:p>
    <w:p w14:paraId="6D806A9B" w14:textId="77777777" w:rsidR="007B54B5" w:rsidRDefault="007B54B5" w:rsidP="007B54B5">
      <w:pPr>
        <w:pStyle w:val="BodyText"/>
        <w:spacing w:before="3"/>
        <w:ind w:left="0"/>
        <w:jc w:val="center"/>
        <w:rPr>
          <w:color w:val="000000" w:themeColor="text1"/>
          <w:lang w:val="id-ID"/>
        </w:rPr>
      </w:pPr>
    </w:p>
    <w:p w14:paraId="0BC42D05" w14:textId="39300120" w:rsidR="00B52102" w:rsidRDefault="007B30BE" w:rsidP="007B54B5">
      <w:pPr>
        <w:pStyle w:val="BodyText"/>
        <w:spacing w:before="3"/>
        <w:ind w:left="0" w:firstLine="284"/>
        <w:jc w:val="both"/>
        <w:rPr>
          <w:color w:val="000000" w:themeColor="text1"/>
          <w:lang w:val="id-ID"/>
        </w:rPr>
      </w:pPr>
      <w:r w:rsidRPr="007B30BE">
        <w:rPr>
          <w:color w:val="000000" w:themeColor="text1"/>
          <w:lang w:val="id-ID"/>
        </w:rPr>
        <w:t>From the multiple linear regression equation above, it can be analyzed as follows:</w:t>
      </w:r>
    </w:p>
    <w:p w14:paraId="31D0FEF3" w14:textId="588BA54E" w:rsidR="007B54B5" w:rsidRPr="007B54B5" w:rsidRDefault="007B54B5" w:rsidP="00E512A2">
      <w:pPr>
        <w:pStyle w:val="BodyText"/>
        <w:numPr>
          <w:ilvl w:val="1"/>
          <w:numId w:val="12"/>
        </w:numPr>
        <w:spacing w:before="3"/>
        <w:ind w:left="426" w:hanging="284"/>
        <w:jc w:val="both"/>
        <w:rPr>
          <w:color w:val="000000" w:themeColor="text1"/>
          <w:lang w:val="id-ID"/>
        </w:rPr>
      </w:pPr>
      <w:r w:rsidRPr="007B54B5">
        <w:rPr>
          <w:color w:val="000000" w:themeColor="text1"/>
          <w:lang w:val="id-ID"/>
        </w:rPr>
        <w:t>The regression coefficient value of the firm size variable (X1) is 1.546, this means that if there is an increase in firm size as measured by total assets, it will increase the audit delay for 1.546 days.</w:t>
      </w:r>
    </w:p>
    <w:p w14:paraId="39D178CF" w14:textId="005197A7" w:rsidR="007B54B5" w:rsidRPr="007B54B5" w:rsidRDefault="007B54B5" w:rsidP="00E512A2">
      <w:pPr>
        <w:pStyle w:val="BodyText"/>
        <w:numPr>
          <w:ilvl w:val="1"/>
          <w:numId w:val="12"/>
        </w:numPr>
        <w:spacing w:before="3"/>
        <w:ind w:left="426" w:hanging="284"/>
        <w:jc w:val="both"/>
        <w:rPr>
          <w:color w:val="000000" w:themeColor="text1"/>
          <w:lang w:val="id-ID"/>
        </w:rPr>
      </w:pPr>
      <w:r w:rsidRPr="007B54B5">
        <w:rPr>
          <w:color w:val="000000" w:themeColor="text1"/>
          <w:lang w:val="id-ID"/>
        </w:rPr>
        <w:t>The regression coefficient value for the KAP size variable (X2) is 0.576, which means that if the company audited by KAP is the big four, the audit delay will increase for 0.576 days.</w:t>
      </w:r>
    </w:p>
    <w:p w14:paraId="78E922D3" w14:textId="55338DE0" w:rsidR="00B52102" w:rsidRPr="007B54B5" w:rsidRDefault="007B54B5" w:rsidP="00E512A2">
      <w:pPr>
        <w:pStyle w:val="BodyText"/>
        <w:numPr>
          <w:ilvl w:val="1"/>
          <w:numId w:val="12"/>
        </w:numPr>
        <w:spacing w:before="3"/>
        <w:ind w:left="426" w:hanging="284"/>
        <w:jc w:val="both"/>
        <w:rPr>
          <w:color w:val="000000" w:themeColor="text1"/>
          <w:lang w:val="id-ID"/>
        </w:rPr>
      </w:pPr>
      <w:r w:rsidRPr="007B54B5">
        <w:rPr>
          <w:color w:val="000000" w:themeColor="text1"/>
          <w:lang w:val="id-ID"/>
        </w:rPr>
        <w:t>The value of the regression coefficient of the profitability variable (X3) is -0.445, which means that every increase in profitability will reduce the audit delay for 0.445 days.</w:t>
      </w:r>
    </w:p>
    <w:p w14:paraId="15EBDE7B" w14:textId="77777777" w:rsidR="007B54B5" w:rsidRDefault="007B54B5" w:rsidP="007B54B5">
      <w:pPr>
        <w:pStyle w:val="BodyText"/>
        <w:spacing w:before="3"/>
        <w:ind w:left="426" w:hanging="426"/>
        <w:jc w:val="both"/>
        <w:rPr>
          <w:b/>
          <w:color w:val="000000" w:themeColor="text1"/>
          <w:sz w:val="24"/>
          <w:szCs w:val="24"/>
          <w:lang w:val="id-ID"/>
        </w:rPr>
      </w:pPr>
    </w:p>
    <w:p w14:paraId="5E173BF3" w14:textId="1DFB944C" w:rsidR="007B30BE" w:rsidRPr="0051208F" w:rsidRDefault="007E0339" w:rsidP="00C36D99">
      <w:pPr>
        <w:pStyle w:val="BodyText"/>
        <w:spacing w:before="3"/>
        <w:ind w:left="426" w:hanging="426"/>
        <w:jc w:val="both"/>
        <w:rPr>
          <w:b/>
          <w:color w:val="000000" w:themeColor="text1"/>
          <w:sz w:val="22"/>
          <w:szCs w:val="22"/>
          <w:lang w:val="id-ID"/>
        </w:rPr>
      </w:pPr>
      <w:r w:rsidRPr="0051208F">
        <w:rPr>
          <w:b/>
          <w:color w:val="000000" w:themeColor="text1"/>
          <w:sz w:val="22"/>
          <w:szCs w:val="22"/>
          <w:lang w:val="id-ID"/>
        </w:rPr>
        <w:t>C. T test (Partial Test)</w:t>
      </w:r>
    </w:p>
    <w:p w14:paraId="6050805C" w14:textId="7C872727" w:rsidR="008F2301" w:rsidRPr="008F2301" w:rsidRDefault="008F2301" w:rsidP="007B54B5">
      <w:pPr>
        <w:pStyle w:val="BodyText"/>
        <w:spacing w:before="3"/>
        <w:ind w:left="0" w:firstLine="284"/>
        <w:jc w:val="both"/>
        <w:rPr>
          <w:color w:val="000000" w:themeColor="text1"/>
          <w:lang w:val="id-ID"/>
        </w:rPr>
      </w:pPr>
      <w:r w:rsidRPr="008F2301">
        <w:rPr>
          <w:color w:val="000000" w:themeColor="text1"/>
          <w:lang w:val="id-ID"/>
        </w:rPr>
        <w:t>The r</w:t>
      </w:r>
      <w:r w:rsidR="007B54B5">
        <w:rPr>
          <w:color w:val="000000" w:themeColor="text1"/>
          <w:lang w:val="id-ID"/>
        </w:rPr>
        <w:t>esults of the t-test in table 4</w:t>
      </w:r>
      <w:r w:rsidR="004E448F">
        <w:rPr>
          <w:color w:val="000000" w:themeColor="text1"/>
          <w:lang w:val="id-ID"/>
        </w:rPr>
        <w:t>, f</w:t>
      </w:r>
      <w:r w:rsidRPr="008F2301">
        <w:rPr>
          <w:color w:val="000000" w:themeColor="text1"/>
          <w:lang w:val="id-ID"/>
        </w:rPr>
        <w:t>rom the multiple linear regression equation above, it can be analyzed as follows:</w:t>
      </w:r>
    </w:p>
    <w:p w14:paraId="6DCF4A19" w14:textId="77777777" w:rsidR="007B54B5" w:rsidRDefault="007B54B5" w:rsidP="00E512A2">
      <w:pPr>
        <w:pStyle w:val="BodyText"/>
        <w:numPr>
          <w:ilvl w:val="1"/>
          <w:numId w:val="13"/>
        </w:numPr>
        <w:spacing w:before="3"/>
        <w:ind w:left="284" w:hanging="284"/>
        <w:jc w:val="both"/>
        <w:rPr>
          <w:color w:val="000000" w:themeColor="text1"/>
          <w:lang w:val="id-ID"/>
        </w:rPr>
      </w:pPr>
      <w:r w:rsidRPr="007B54B5">
        <w:rPr>
          <w:color w:val="000000" w:themeColor="text1"/>
          <w:lang w:val="id-ID"/>
        </w:rPr>
        <w:t>Based on the results of the t test, it can be seen that the firm size variable (X1) has a significance value of 0.037, meaning that there is a significant positive effect of firm size on audit delay, because the significance value is above 0.05, and the regression coefficient value is positive. Thus it is stated that the first hypothesis is accepted.</w:t>
      </w:r>
    </w:p>
    <w:p w14:paraId="5173E10E" w14:textId="77777777" w:rsidR="007B54B5" w:rsidRDefault="007B54B5" w:rsidP="00E512A2">
      <w:pPr>
        <w:pStyle w:val="BodyText"/>
        <w:numPr>
          <w:ilvl w:val="1"/>
          <w:numId w:val="13"/>
        </w:numPr>
        <w:spacing w:before="3"/>
        <w:ind w:left="284" w:hanging="284"/>
        <w:jc w:val="both"/>
        <w:rPr>
          <w:color w:val="000000" w:themeColor="text1"/>
          <w:lang w:val="id-ID"/>
        </w:rPr>
      </w:pPr>
      <w:r w:rsidRPr="007B54B5">
        <w:rPr>
          <w:color w:val="000000" w:themeColor="text1"/>
          <w:lang w:val="id-ID"/>
        </w:rPr>
        <w:t>Based on the results of the t test, the significance value for the variable size of KAP (X2) is 0.901, far above 0.05. Therefore, the second hypothesis does not have the effect of KAP size on audit delay. Thus it is stated that the second hypothesis is rejected.</w:t>
      </w:r>
    </w:p>
    <w:p w14:paraId="191EA700" w14:textId="7A19F90A" w:rsidR="007B54B5" w:rsidRPr="007B54B5" w:rsidRDefault="007B54B5" w:rsidP="00E512A2">
      <w:pPr>
        <w:pStyle w:val="BodyText"/>
        <w:numPr>
          <w:ilvl w:val="1"/>
          <w:numId w:val="13"/>
        </w:numPr>
        <w:spacing w:before="3"/>
        <w:ind w:left="284" w:hanging="284"/>
        <w:jc w:val="both"/>
        <w:rPr>
          <w:color w:val="000000" w:themeColor="text1"/>
          <w:lang w:val="id-ID"/>
        </w:rPr>
      </w:pPr>
      <w:r w:rsidRPr="007B54B5">
        <w:rPr>
          <w:color w:val="000000" w:themeColor="text1"/>
          <w:lang w:val="id-ID"/>
        </w:rPr>
        <w:t>Based on the results of the t test, the significance value for the profitability variable (X3) is 0.015, below 0.05. This result means that profitability has a negative and significant effect on audit delay. Thus it is stated that the third hypothesis is accepted</w:t>
      </w:r>
      <w:r w:rsidRPr="007B54B5">
        <w:rPr>
          <w:color w:val="000000" w:themeColor="text1"/>
        </w:rPr>
        <w:t>.</w:t>
      </w:r>
    </w:p>
    <w:p w14:paraId="631522A9" w14:textId="77777777" w:rsidR="008F2301" w:rsidRPr="008F2301" w:rsidRDefault="008F2301" w:rsidP="008F2301">
      <w:pPr>
        <w:pStyle w:val="BodyText"/>
        <w:spacing w:before="3"/>
        <w:ind w:left="284"/>
        <w:jc w:val="both"/>
        <w:rPr>
          <w:color w:val="000000" w:themeColor="text1"/>
          <w:lang w:val="id-ID"/>
        </w:rPr>
      </w:pPr>
    </w:p>
    <w:p w14:paraId="02320E28" w14:textId="09ECF8E5" w:rsidR="008F2301" w:rsidRPr="008F2301" w:rsidRDefault="008F2301" w:rsidP="00C36D99">
      <w:pPr>
        <w:pStyle w:val="BodyText"/>
        <w:spacing w:before="3"/>
        <w:ind w:left="426" w:hanging="426"/>
        <w:jc w:val="both"/>
        <w:rPr>
          <w:b/>
          <w:color w:val="000000" w:themeColor="text1"/>
          <w:lang w:val="id-ID"/>
        </w:rPr>
      </w:pPr>
      <w:r>
        <w:rPr>
          <w:b/>
          <w:color w:val="000000" w:themeColor="text1"/>
          <w:lang w:val="id-ID"/>
        </w:rPr>
        <w:t xml:space="preserve">D. </w:t>
      </w:r>
      <w:r w:rsidRPr="008F2301">
        <w:rPr>
          <w:b/>
          <w:color w:val="000000" w:themeColor="text1"/>
          <w:lang w:val="id-ID"/>
        </w:rPr>
        <w:t>F Test (Simultaneous Test)</w:t>
      </w:r>
    </w:p>
    <w:p w14:paraId="5555D57E" w14:textId="03C8CA8A" w:rsidR="008F2301" w:rsidRDefault="008F2301" w:rsidP="007B54B5">
      <w:pPr>
        <w:pStyle w:val="BodyText"/>
        <w:spacing w:before="3"/>
        <w:ind w:left="0" w:firstLine="284"/>
        <w:jc w:val="both"/>
        <w:rPr>
          <w:color w:val="000000" w:themeColor="text1"/>
          <w:lang w:val="id-ID"/>
        </w:rPr>
      </w:pPr>
      <w:r w:rsidRPr="008F2301">
        <w:rPr>
          <w:color w:val="000000" w:themeColor="text1"/>
          <w:lang w:val="id-ID"/>
        </w:rPr>
        <w:t xml:space="preserve">The F test basically shows whether all independent or independent variables included in the model have a joint effect on the dependent/bound variable (Ghozali, </w:t>
      </w:r>
      <w:r w:rsidR="00AB27C5">
        <w:rPr>
          <w:color w:val="000000" w:themeColor="text1"/>
          <w:lang w:val="id-ID"/>
        </w:rPr>
        <w:t>2011</w:t>
      </w:r>
      <w:r w:rsidRPr="008F2301">
        <w:rPr>
          <w:color w:val="000000" w:themeColor="text1"/>
          <w:lang w:val="id-ID"/>
        </w:rPr>
        <w:t>).</w:t>
      </w:r>
    </w:p>
    <w:p w14:paraId="084DA148" w14:textId="4574E165" w:rsidR="00D87E15" w:rsidRDefault="00D87E15" w:rsidP="00D87E15">
      <w:pPr>
        <w:pStyle w:val="BodyText"/>
        <w:spacing w:before="3"/>
        <w:ind w:left="0"/>
        <w:jc w:val="center"/>
        <w:rPr>
          <w:b/>
          <w:color w:val="000000" w:themeColor="text1"/>
          <w:lang w:val="id-ID"/>
        </w:rPr>
      </w:pPr>
      <w:r w:rsidRPr="00D87E15">
        <w:rPr>
          <w:b/>
          <w:color w:val="000000" w:themeColor="text1"/>
          <w:lang w:val="id-ID"/>
        </w:rPr>
        <w:t>Ta</w:t>
      </w:r>
      <w:r w:rsidR="007B54B5">
        <w:rPr>
          <w:b/>
          <w:color w:val="000000" w:themeColor="text1"/>
          <w:lang w:val="id-ID"/>
        </w:rPr>
        <w:t>ble 5</w:t>
      </w:r>
      <w:r w:rsidRPr="00D87E15">
        <w:rPr>
          <w:b/>
          <w:color w:val="000000" w:themeColor="text1"/>
          <w:lang w:val="id-ID"/>
        </w:rPr>
        <w:t>. Test Results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4"/>
        <w:gridCol w:w="1054"/>
        <w:gridCol w:w="1327"/>
        <w:gridCol w:w="366"/>
        <w:gridCol w:w="1120"/>
        <w:gridCol w:w="616"/>
        <w:gridCol w:w="583"/>
      </w:tblGrid>
      <w:tr w:rsidR="007B54B5" w:rsidRPr="00EE50F7" w14:paraId="14419F18" w14:textId="77777777" w:rsidTr="007B54B5">
        <w:trPr>
          <w:cantSplit/>
        </w:trPr>
        <w:tc>
          <w:tcPr>
            <w:tcW w:w="0" w:type="auto"/>
            <w:gridSpan w:val="7"/>
            <w:tcBorders>
              <w:top w:val="nil"/>
              <w:left w:val="nil"/>
              <w:bottom w:val="single" w:sz="18" w:space="0" w:color="auto"/>
              <w:right w:val="nil"/>
            </w:tcBorders>
            <w:shd w:val="clear" w:color="auto" w:fill="auto"/>
            <w:vAlign w:val="center"/>
          </w:tcPr>
          <w:p w14:paraId="78529C43" w14:textId="77777777" w:rsidR="007B54B5" w:rsidRPr="00EE50F7" w:rsidRDefault="007B54B5" w:rsidP="007B54B5">
            <w:pPr>
              <w:adjustRightInd w:val="0"/>
              <w:ind w:left="60" w:right="60"/>
              <w:jc w:val="center"/>
              <w:rPr>
                <w:rFonts w:ascii="Arial" w:hAnsi="Arial" w:cs="Arial"/>
              </w:rPr>
            </w:pPr>
            <w:r w:rsidRPr="00EE50F7">
              <w:rPr>
                <w:rFonts w:ascii="Arial" w:hAnsi="Arial" w:cs="Arial"/>
                <w:b/>
                <w:bCs/>
              </w:rPr>
              <w:t>ANOVA</w:t>
            </w:r>
            <w:r w:rsidRPr="00EE50F7">
              <w:rPr>
                <w:rFonts w:ascii="Arial" w:hAnsi="Arial" w:cs="Arial"/>
                <w:b/>
                <w:bCs/>
                <w:vertAlign w:val="superscript"/>
              </w:rPr>
              <w:t>a</w:t>
            </w:r>
          </w:p>
        </w:tc>
      </w:tr>
      <w:tr w:rsidR="007B54B5" w:rsidRPr="00EE50F7" w14:paraId="03281F31" w14:textId="77777777" w:rsidTr="007B54B5">
        <w:trPr>
          <w:cantSplit/>
        </w:trPr>
        <w:tc>
          <w:tcPr>
            <w:tcW w:w="0" w:type="auto"/>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34810CCC" w14:textId="77777777"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Model</w:t>
            </w:r>
          </w:p>
        </w:tc>
        <w:tc>
          <w:tcPr>
            <w:tcW w:w="0" w:type="auto"/>
            <w:tcBorders>
              <w:top w:val="single" w:sz="18" w:space="0" w:color="auto"/>
              <w:left w:val="single" w:sz="18" w:space="0" w:color="auto"/>
              <w:bottom w:val="single" w:sz="18" w:space="0" w:color="auto"/>
              <w:right w:val="single" w:sz="18" w:space="0" w:color="auto"/>
            </w:tcBorders>
            <w:shd w:val="clear" w:color="auto" w:fill="auto"/>
            <w:vAlign w:val="bottom"/>
          </w:tcPr>
          <w:p w14:paraId="55D4C6F9" w14:textId="77777777" w:rsidR="007B54B5" w:rsidRPr="00EE50F7" w:rsidRDefault="007B54B5" w:rsidP="007B54B5">
            <w:pPr>
              <w:adjustRightInd w:val="0"/>
              <w:ind w:left="60" w:right="60"/>
              <w:jc w:val="center"/>
              <w:rPr>
                <w:rFonts w:ascii="Arial" w:hAnsi="Arial" w:cs="Arial"/>
                <w:sz w:val="18"/>
                <w:szCs w:val="18"/>
              </w:rPr>
            </w:pPr>
            <w:r w:rsidRPr="00EE50F7">
              <w:rPr>
                <w:rFonts w:ascii="Arial" w:hAnsi="Arial" w:cs="Arial"/>
                <w:sz w:val="18"/>
                <w:szCs w:val="18"/>
              </w:rPr>
              <w:t>Sum of Squares</w:t>
            </w:r>
          </w:p>
        </w:tc>
        <w:tc>
          <w:tcPr>
            <w:tcW w:w="0" w:type="auto"/>
            <w:tcBorders>
              <w:top w:val="single" w:sz="18" w:space="0" w:color="auto"/>
              <w:left w:val="single" w:sz="18" w:space="0" w:color="auto"/>
              <w:bottom w:val="single" w:sz="18" w:space="0" w:color="auto"/>
              <w:right w:val="single" w:sz="18" w:space="0" w:color="auto"/>
            </w:tcBorders>
            <w:shd w:val="clear" w:color="auto" w:fill="auto"/>
            <w:vAlign w:val="bottom"/>
          </w:tcPr>
          <w:p w14:paraId="5EE228A1" w14:textId="77777777" w:rsidR="007B54B5" w:rsidRPr="00EE50F7" w:rsidRDefault="007B54B5" w:rsidP="007B54B5">
            <w:pPr>
              <w:adjustRightInd w:val="0"/>
              <w:ind w:left="60" w:right="60"/>
              <w:jc w:val="center"/>
              <w:rPr>
                <w:rFonts w:ascii="Arial" w:hAnsi="Arial" w:cs="Arial"/>
                <w:sz w:val="18"/>
                <w:szCs w:val="18"/>
              </w:rPr>
            </w:pPr>
            <w:r w:rsidRPr="00EE50F7">
              <w:rPr>
                <w:rFonts w:ascii="Arial" w:hAnsi="Arial" w:cs="Arial"/>
                <w:sz w:val="18"/>
                <w:szCs w:val="18"/>
              </w:rPr>
              <w:t>Df</w:t>
            </w:r>
          </w:p>
        </w:tc>
        <w:tc>
          <w:tcPr>
            <w:tcW w:w="0" w:type="auto"/>
            <w:tcBorders>
              <w:top w:val="single" w:sz="18" w:space="0" w:color="auto"/>
              <w:left w:val="single" w:sz="18" w:space="0" w:color="auto"/>
              <w:bottom w:val="single" w:sz="18" w:space="0" w:color="auto"/>
              <w:right w:val="single" w:sz="18" w:space="0" w:color="auto"/>
            </w:tcBorders>
            <w:shd w:val="clear" w:color="auto" w:fill="auto"/>
            <w:vAlign w:val="bottom"/>
          </w:tcPr>
          <w:p w14:paraId="253D9117" w14:textId="77777777" w:rsidR="007B54B5" w:rsidRPr="00EE50F7" w:rsidRDefault="007B54B5" w:rsidP="007B54B5">
            <w:pPr>
              <w:adjustRightInd w:val="0"/>
              <w:ind w:left="60" w:right="60"/>
              <w:jc w:val="center"/>
              <w:rPr>
                <w:rFonts w:ascii="Arial" w:hAnsi="Arial" w:cs="Arial"/>
                <w:sz w:val="18"/>
                <w:szCs w:val="18"/>
              </w:rPr>
            </w:pPr>
            <w:r w:rsidRPr="00EE50F7">
              <w:rPr>
                <w:rFonts w:ascii="Arial" w:hAnsi="Arial" w:cs="Arial"/>
                <w:sz w:val="18"/>
                <w:szCs w:val="18"/>
              </w:rPr>
              <w:t>Mean Square</w:t>
            </w:r>
          </w:p>
        </w:tc>
        <w:tc>
          <w:tcPr>
            <w:tcW w:w="0" w:type="auto"/>
            <w:tcBorders>
              <w:top w:val="single" w:sz="18" w:space="0" w:color="auto"/>
              <w:left w:val="single" w:sz="18" w:space="0" w:color="auto"/>
              <w:bottom w:val="single" w:sz="18" w:space="0" w:color="auto"/>
              <w:right w:val="single" w:sz="18" w:space="0" w:color="auto"/>
            </w:tcBorders>
            <w:shd w:val="clear" w:color="auto" w:fill="auto"/>
            <w:vAlign w:val="bottom"/>
          </w:tcPr>
          <w:p w14:paraId="45F3E8B6" w14:textId="77777777" w:rsidR="007B54B5" w:rsidRPr="00EE50F7" w:rsidRDefault="007B54B5" w:rsidP="007B54B5">
            <w:pPr>
              <w:adjustRightInd w:val="0"/>
              <w:ind w:left="60" w:right="60"/>
              <w:jc w:val="center"/>
              <w:rPr>
                <w:rFonts w:ascii="Arial" w:hAnsi="Arial" w:cs="Arial"/>
                <w:sz w:val="18"/>
                <w:szCs w:val="18"/>
              </w:rPr>
            </w:pPr>
            <w:r w:rsidRPr="00EE50F7">
              <w:rPr>
                <w:rFonts w:ascii="Arial" w:hAnsi="Arial" w:cs="Arial"/>
                <w:sz w:val="18"/>
                <w:szCs w:val="18"/>
              </w:rPr>
              <w:t>F</w:t>
            </w:r>
          </w:p>
        </w:tc>
        <w:tc>
          <w:tcPr>
            <w:tcW w:w="0" w:type="auto"/>
            <w:tcBorders>
              <w:top w:val="single" w:sz="18" w:space="0" w:color="auto"/>
              <w:left w:val="single" w:sz="18" w:space="0" w:color="auto"/>
              <w:bottom w:val="single" w:sz="18" w:space="0" w:color="auto"/>
              <w:right w:val="single" w:sz="18" w:space="0" w:color="auto"/>
            </w:tcBorders>
            <w:shd w:val="clear" w:color="auto" w:fill="auto"/>
            <w:vAlign w:val="bottom"/>
          </w:tcPr>
          <w:p w14:paraId="3933614A" w14:textId="77777777" w:rsidR="007B54B5" w:rsidRPr="00EE50F7" w:rsidRDefault="007B54B5" w:rsidP="007B54B5">
            <w:pPr>
              <w:adjustRightInd w:val="0"/>
              <w:ind w:left="60" w:right="60"/>
              <w:jc w:val="center"/>
              <w:rPr>
                <w:rFonts w:ascii="Arial" w:hAnsi="Arial" w:cs="Arial"/>
                <w:sz w:val="18"/>
                <w:szCs w:val="18"/>
              </w:rPr>
            </w:pPr>
            <w:r w:rsidRPr="00EE50F7">
              <w:rPr>
                <w:rFonts w:ascii="Arial" w:hAnsi="Arial" w:cs="Arial"/>
                <w:sz w:val="18"/>
                <w:szCs w:val="18"/>
              </w:rPr>
              <w:t>Sig.</w:t>
            </w:r>
          </w:p>
        </w:tc>
      </w:tr>
      <w:tr w:rsidR="007B54B5" w:rsidRPr="00EE50F7" w14:paraId="7970B558" w14:textId="77777777" w:rsidTr="007B54B5">
        <w:trPr>
          <w:cantSplit/>
        </w:trPr>
        <w:tc>
          <w:tcPr>
            <w:tcW w:w="0" w:type="auto"/>
            <w:vMerge w:val="restart"/>
            <w:tcBorders>
              <w:top w:val="single" w:sz="18" w:space="0" w:color="auto"/>
              <w:left w:val="single" w:sz="18" w:space="0" w:color="auto"/>
              <w:bottom w:val="single" w:sz="8" w:space="0" w:color="152935"/>
              <w:right w:val="nil"/>
            </w:tcBorders>
            <w:shd w:val="clear" w:color="auto" w:fill="auto"/>
          </w:tcPr>
          <w:p w14:paraId="35413CF8" w14:textId="77777777"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1</w:t>
            </w:r>
          </w:p>
        </w:tc>
        <w:tc>
          <w:tcPr>
            <w:tcW w:w="0" w:type="auto"/>
            <w:tcBorders>
              <w:top w:val="single" w:sz="18" w:space="0" w:color="auto"/>
              <w:left w:val="nil"/>
              <w:bottom w:val="single" w:sz="8" w:space="0" w:color="AEAEAE"/>
              <w:right w:val="single" w:sz="18" w:space="0" w:color="auto"/>
            </w:tcBorders>
            <w:shd w:val="clear" w:color="auto" w:fill="auto"/>
          </w:tcPr>
          <w:p w14:paraId="22CCC958" w14:textId="77777777"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Regression</w:t>
            </w:r>
          </w:p>
        </w:tc>
        <w:tc>
          <w:tcPr>
            <w:tcW w:w="0" w:type="auto"/>
            <w:tcBorders>
              <w:top w:val="single" w:sz="18" w:space="0" w:color="auto"/>
              <w:left w:val="single" w:sz="18" w:space="0" w:color="auto"/>
              <w:bottom w:val="single" w:sz="8" w:space="0" w:color="AEAEAE"/>
              <w:right w:val="single" w:sz="18" w:space="0" w:color="auto"/>
            </w:tcBorders>
            <w:shd w:val="clear" w:color="auto" w:fill="auto"/>
          </w:tcPr>
          <w:p w14:paraId="2554F7E2"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2737,809</w:t>
            </w:r>
          </w:p>
        </w:tc>
        <w:tc>
          <w:tcPr>
            <w:tcW w:w="0" w:type="auto"/>
            <w:tcBorders>
              <w:top w:val="single" w:sz="18" w:space="0" w:color="auto"/>
              <w:left w:val="single" w:sz="18" w:space="0" w:color="auto"/>
              <w:bottom w:val="single" w:sz="8" w:space="0" w:color="AEAEAE"/>
              <w:right w:val="single" w:sz="18" w:space="0" w:color="auto"/>
            </w:tcBorders>
            <w:shd w:val="clear" w:color="auto" w:fill="auto"/>
          </w:tcPr>
          <w:p w14:paraId="47B65472"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3</w:t>
            </w:r>
          </w:p>
        </w:tc>
        <w:tc>
          <w:tcPr>
            <w:tcW w:w="0" w:type="auto"/>
            <w:tcBorders>
              <w:top w:val="single" w:sz="18" w:space="0" w:color="auto"/>
              <w:left w:val="single" w:sz="18" w:space="0" w:color="auto"/>
              <w:bottom w:val="single" w:sz="8" w:space="0" w:color="AEAEAE"/>
              <w:right w:val="single" w:sz="18" w:space="0" w:color="auto"/>
            </w:tcBorders>
            <w:shd w:val="clear" w:color="auto" w:fill="auto"/>
          </w:tcPr>
          <w:p w14:paraId="38D26DDC"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912,603</w:t>
            </w:r>
          </w:p>
        </w:tc>
        <w:tc>
          <w:tcPr>
            <w:tcW w:w="0" w:type="auto"/>
            <w:tcBorders>
              <w:top w:val="single" w:sz="18" w:space="0" w:color="auto"/>
              <w:left w:val="single" w:sz="18" w:space="0" w:color="auto"/>
              <w:bottom w:val="single" w:sz="8" w:space="0" w:color="AEAEAE"/>
              <w:right w:val="single" w:sz="18" w:space="0" w:color="auto"/>
            </w:tcBorders>
            <w:shd w:val="clear" w:color="auto" w:fill="auto"/>
          </w:tcPr>
          <w:p w14:paraId="7BCD5F98"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3,580</w:t>
            </w:r>
          </w:p>
        </w:tc>
        <w:tc>
          <w:tcPr>
            <w:tcW w:w="0" w:type="auto"/>
            <w:tcBorders>
              <w:top w:val="single" w:sz="18" w:space="0" w:color="auto"/>
              <w:left w:val="single" w:sz="18" w:space="0" w:color="auto"/>
              <w:bottom w:val="single" w:sz="8" w:space="0" w:color="AEAEAE"/>
              <w:right w:val="single" w:sz="18" w:space="0" w:color="auto"/>
            </w:tcBorders>
            <w:shd w:val="clear" w:color="auto" w:fill="auto"/>
          </w:tcPr>
          <w:p w14:paraId="10D93FC9"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,019</w:t>
            </w:r>
            <w:r w:rsidRPr="00EE50F7">
              <w:rPr>
                <w:rFonts w:ascii="Arial" w:hAnsi="Arial" w:cs="Arial"/>
                <w:sz w:val="18"/>
                <w:szCs w:val="18"/>
                <w:vertAlign w:val="superscript"/>
              </w:rPr>
              <w:t>b</w:t>
            </w:r>
          </w:p>
        </w:tc>
      </w:tr>
      <w:tr w:rsidR="007B54B5" w:rsidRPr="00EE50F7" w14:paraId="7F845FF9" w14:textId="77777777" w:rsidTr="007B54B5">
        <w:trPr>
          <w:cantSplit/>
        </w:trPr>
        <w:tc>
          <w:tcPr>
            <w:tcW w:w="0" w:type="auto"/>
            <w:vMerge/>
            <w:tcBorders>
              <w:top w:val="single" w:sz="8" w:space="0" w:color="152935"/>
              <w:left w:val="single" w:sz="18" w:space="0" w:color="auto"/>
              <w:bottom w:val="single" w:sz="8" w:space="0" w:color="152935"/>
              <w:right w:val="nil"/>
            </w:tcBorders>
            <w:shd w:val="clear" w:color="auto" w:fill="auto"/>
          </w:tcPr>
          <w:p w14:paraId="73E9DB10" w14:textId="77777777" w:rsidR="007B54B5" w:rsidRPr="00EE50F7" w:rsidRDefault="007B54B5" w:rsidP="007B54B5">
            <w:pPr>
              <w:adjustRightInd w:val="0"/>
              <w:rPr>
                <w:rFonts w:ascii="Arial" w:hAnsi="Arial" w:cs="Arial"/>
                <w:sz w:val="18"/>
                <w:szCs w:val="18"/>
              </w:rPr>
            </w:pPr>
          </w:p>
        </w:tc>
        <w:tc>
          <w:tcPr>
            <w:tcW w:w="0" w:type="auto"/>
            <w:tcBorders>
              <w:top w:val="single" w:sz="8" w:space="0" w:color="AEAEAE"/>
              <w:left w:val="nil"/>
              <w:bottom w:val="single" w:sz="8" w:space="0" w:color="AEAEAE"/>
              <w:right w:val="single" w:sz="18" w:space="0" w:color="auto"/>
            </w:tcBorders>
            <w:shd w:val="clear" w:color="auto" w:fill="auto"/>
          </w:tcPr>
          <w:p w14:paraId="6D85FCCE" w14:textId="77777777"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Residual</w:t>
            </w:r>
          </w:p>
        </w:tc>
        <w:tc>
          <w:tcPr>
            <w:tcW w:w="0" w:type="auto"/>
            <w:tcBorders>
              <w:top w:val="single" w:sz="8" w:space="0" w:color="AEAEAE"/>
              <w:left w:val="single" w:sz="18" w:space="0" w:color="auto"/>
              <w:bottom w:val="single" w:sz="8" w:space="0" w:color="AEAEAE"/>
              <w:right w:val="single" w:sz="18" w:space="0" w:color="auto"/>
            </w:tcBorders>
            <w:shd w:val="clear" w:color="auto" w:fill="auto"/>
          </w:tcPr>
          <w:p w14:paraId="48405EC0"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16312,941</w:t>
            </w:r>
          </w:p>
        </w:tc>
        <w:tc>
          <w:tcPr>
            <w:tcW w:w="0" w:type="auto"/>
            <w:tcBorders>
              <w:top w:val="single" w:sz="8" w:space="0" w:color="AEAEAE"/>
              <w:left w:val="single" w:sz="18" w:space="0" w:color="auto"/>
              <w:bottom w:val="single" w:sz="8" w:space="0" w:color="AEAEAE"/>
              <w:right w:val="single" w:sz="18" w:space="0" w:color="auto"/>
            </w:tcBorders>
            <w:shd w:val="clear" w:color="auto" w:fill="auto"/>
          </w:tcPr>
          <w:p w14:paraId="687FC596"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64</w:t>
            </w:r>
          </w:p>
        </w:tc>
        <w:tc>
          <w:tcPr>
            <w:tcW w:w="0" w:type="auto"/>
            <w:tcBorders>
              <w:top w:val="single" w:sz="8" w:space="0" w:color="AEAEAE"/>
              <w:left w:val="single" w:sz="18" w:space="0" w:color="auto"/>
              <w:bottom w:val="single" w:sz="8" w:space="0" w:color="AEAEAE"/>
              <w:right w:val="single" w:sz="18" w:space="0" w:color="auto"/>
            </w:tcBorders>
            <w:shd w:val="clear" w:color="auto" w:fill="auto"/>
          </w:tcPr>
          <w:p w14:paraId="08CC0388"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254,890</w:t>
            </w:r>
          </w:p>
        </w:tc>
        <w:tc>
          <w:tcPr>
            <w:tcW w:w="0" w:type="auto"/>
            <w:tcBorders>
              <w:top w:val="single" w:sz="8" w:space="0" w:color="AEAEAE"/>
              <w:left w:val="single" w:sz="18" w:space="0" w:color="auto"/>
              <w:bottom w:val="single" w:sz="8" w:space="0" w:color="AEAEAE"/>
              <w:right w:val="single" w:sz="18" w:space="0" w:color="auto"/>
            </w:tcBorders>
            <w:shd w:val="clear" w:color="auto" w:fill="auto"/>
            <w:vAlign w:val="center"/>
          </w:tcPr>
          <w:p w14:paraId="15B02B6F" w14:textId="77777777" w:rsidR="007B54B5" w:rsidRPr="00EE50F7" w:rsidRDefault="007B54B5" w:rsidP="007B54B5">
            <w:pPr>
              <w:adjustRightInd w:val="0"/>
              <w:rPr>
                <w:rFonts w:ascii="Arial" w:hAnsi="Arial" w:cs="Arial"/>
                <w:sz w:val="24"/>
                <w:szCs w:val="24"/>
              </w:rPr>
            </w:pPr>
          </w:p>
        </w:tc>
        <w:tc>
          <w:tcPr>
            <w:tcW w:w="0" w:type="auto"/>
            <w:tcBorders>
              <w:top w:val="single" w:sz="8" w:space="0" w:color="AEAEAE"/>
              <w:left w:val="single" w:sz="18" w:space="0" w:color="auto"/>
              <w:bottom w:val="single" w:sz="8" w:space="0" w:color="AEAEAE"/>
              <w:right w:val="single" w:sz="18" w:space="0" w:color="auto"/>
            </w:tcBorders>
            <w:shd w:val="clear" w:color="auto" w:fill="auto"/>
            <w:vAlign w:val="center"/>
          </w:tcPr>
          <w:p w14:paraId="227F0F8D" w14:textId="77777777" w:rsidR="007B54B5" w:rsidRPr="00EE50F7" w:rsidRDefault="007B54B5" w:rsidP="007B54B5">
            <w:pPr>
              <w:adjustRightInd w:val="0"/>
              <w:rPr>
                <w:rFonts w:ascii="Arial" w:hAnsi="Arial" w:cs="Arial"/>
                <w:sz w:val="24"/>
                <w:szCs w:val="24"/>
              </w:rPr>
            </w:pPr>
          </w:p>
        </w:tc>
      </w:tr>
      <w:tr w:rsidR="007B54B5" w:rsidRPr="00EE50F7" w14:paraId="22B23ACE" w14:textId="77777777" w:rsidTr="007B54B5">
        <w:trPr>
          <w:cantSplit/>
        </w:trPr>
        <w:tc>
          <w:tcPr>
            <w:tcW w:w="0" w:type="auto"/>
            <w:vMerge/>
            <w:tcBorders>
              <w:top w:val="single" w:sz="8" w:space="0" w:color="152935"/>
              <w:left w:val="single" w:sz="18" w:space="0" w:color="auto"/>
              <w:bottom w:val="single" w:sz="18" w:space="0" w:color="auto"/>
              <w:right w:val="nil"/>
            </w:tcBorders>
            <w:shd w:val="clear" w:color="auto" w:fill="auto"/>
          </w:tcPr>
          <w:p w14:paraId="1462C5CD" w14:textId="77777777" w:rsidR="007B54B5" w:rsidRPr="00EE50F7" w:rsidRDefault="007B54B5" w:rsidP="007B54B5">
            <w:pPr>
              <w:adjustRightInd w:val="0"/>
              <w:rPr>
                <w:rFonts w:ascii="Arial" w:hAnsi="Arial" w:cs="Arial"/>
                <w:sz w:val="24"/>
                <w:szCs w:val="24"/>
              </w:rPr>
            </w:pPr>
          </w:p>
        </w:tc>
        <w:tc>
          <w:tcPr>
            <w:tcW w:w="0" w:type="auto"/>
            <w:tcBorders>
              <w:top w:val="single" w:sz="8" w:space="0" w:color="AEAEAE"/>
              <w:left w:val="nil"/>
              <w:bottom w:val="single" w:sz="18" w:space="0" w:color="auto"/>
              <w:right w:val="single" w:sz="18" w:space="0" w:color="auto"/>
            </w:tcBorders>
            <w:shd w:val="clear" w:color="auto" w:fill="auto"/>
          </w:tcPr>
          <w:p w14:paraId="2C4B0425" w14:textId="77777777"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Total</w:t>
            </w:r>
          </w:p>
        </w:tc>
        <w:tc>
          <w:tcPr>
            <w:tcW w:w="0" w:type="auto"/>
            <w:tcBorders>
              <w:top w:val="single" w:sz="8" w:space="0" w:color="AEAEAE"/>
              <w:left w:val="single" w:sz="18" w:space="0" w:color="auto"/>
              <w:bottom w:val="single" w:sz="18" w:space="0" w:color="auto"/>
              <w:right w:val="single" w:sz="18" w:space="0" w:color="auto"/>
            </w:tcBorders>
            <w:shd w:val="clear" w:color="auto" w:fill="auto"/>
          </w:tcPr>
          <w:p w14:paraId="54EABB88"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19050,750</w:t>
            </w:r>
          </w:p>
        </w:tc>
        <w:tc>
          <w:tcPr>
            <w:tcW w:w="0" w:type="auto"/>
            <w:tcBorders>
              <w:top w:val="single" w:sz="8" w:space="0" w:color="AEAEAE"/>
              <w:left w:val="single" w:sz="18" w:space="0" w:color="auto"/>
              <w:bottom w:val="single" w:sz="18" w:space="0" w:color="auto"/>
              <w:right w:val="single" w:sz="18" w:space="0" w:color="auto"/>
            </w:tcBorders>
            <w:shd w:val="clear" w:color="auto" w:fill="auto"/>
          </w:tcPr>
          <w:p w14:paraId="4C29442C" w14:textId="77777777" w:rsidR="007B54B5" w:rsidRPr="00EE50F7" w:rsidRDefault="007B54B5" w:rsidP="007B54B5">
            <w:pPr>
              <w:adjustRightInd w:val="0"/>
              <w:ind w:left="60" w:right="60"/>
              <w:jc w:val="right"/>
              <w:rPr>
                <w:rFonts w:ascii="Arial" w:hAnsi="Arial" w:cs="Arial"/>
                <w:sz w:val="18"/>
                <w:szCs w:val="18"/>
              </w:rPr>
            </w:pPr>
            <w:r w:rsidRPr="00EE50F7">
              <w:rPr>
                <w:rFonts w:ascii="Arial" w:hAnsi="Arial" w:cs="Arial"/>
                <w:sz w:val="18"/>
                <w:szCs w:val="18"/>
              </w:rPr>
              <w:t>67</w:t>
            </w:r>
          </w:p>
        </w:tc>
        <w:tc>
          <w:tcPr>
            <w:tcW w:w="0" w:type="auto"/>
            <w:tcBorders>
              <w:top w:val="single" w:sz="8" w:space="0" w:color="AEAEAE"/>
              <w:left w:val="single" w:sz="18" w:space="0" w:color="auto"/>
              <w:bottom w:val="single" w:sz="18" w:space="0" w:color="auto"/>
              <w:right w:val="single" w:sz="18" w:space="0" w:color="auto"/>
            </w:tcBorders>
            <w:shd w:val="clear" w:color="auto" w:fill="auto"/>
            <w:vAlign w:val="center"/>
          </w:tcPr>
          <w:p w14:paraId="662917CF" w14:textId="77777777" w:rsidR="007B54B5" w:rsidRPr="00EE50F7" w:rsidRDefault="007B54B5" w:rsidP="007B54B5">
            <w:pPr>
              <w:adjustRightInd w:val="0"/>
              <w:rPr>
                <w:rFonts w:ascii="Arial" w:hAnsi="Arial" w:cs="Arial"/>
                <w:sz w:val="24"/>
                <w:szCs w:val="24"/>
              </w:rPr>
            </w:pPr>
          </w:p>
        </w:tc>
        <w:tc>
          <w:tcPr>
            <w:tcW w:w="0" w:type="auto"/>
            <w:tcBorders>
              <w:top w:val="single" w:sz="8" w:space="0" w:color="AEAEAE"/>
              <w:left w:val="single" w:sz="18" w:space="0" w:color="auto"/>
              <w:bottom w:val="single" w:sz="18" w:space="0" w:color="auto"/>
              <w:right w:val="single" w:sz="18" w:space="0" w:color="auto"/>
            </w:tcBorders>
            <w:shd w:val="clear" w:color="auto" w:fill="auto"/>
            <w:vAlign w:val="center"/>
          </w:tcPr>
          <w:p w14:paraId="51835982" w14:textId="77777777" w:rsidR="007B54B5" w:rsidRPr="00EE50F7" w:rsidRDefault="007B54B5" w:rsidP="007B54B5">
            <w:pPr>
              <w:adjustRightInd w:val="0"/>
              <w:rPr>
                <w:rFonts w:ascii="Arial" w:hAnsi="Arial" w:cs="Arial"/>
                <w:sz w:val="24"/>
                <w:szCs w:val="24"/>
              </w:rPr>
            </w:pPr>
          </w:p>
        </w:tc>
        <w:tc>
          <w:tcPr>
            <w:tcW w:w="0" w:type="auto"/>
            <w:tcBorders>
              <w:top w:val="single" w:sz="8" w:space="0" w:color="AEAEAE"/>
              <w:left w:val="single" w:sz="18" w:space="0" w:color="auto"/>
              <w:bottom w:val="single" w:sz="18" w:space="0" w:color="auto"/>
              <w:right w:val="single" w:sz="18" w:space="0" w:color="auto"/>
            </w:tcBorders>
            <w:shd w:val="clear" w:color="auto" w:fill="auto"/>
            <w:vAlign w:val="center"/>
          </w:tcPr>
          <w:p w14:paraId="370DACFD" w14:textId="77777777" w:rsidR="007B54B5" w:rsidRPr="00EE50F7" w:rsidRDefault="007B54B5" w:rsidP="007B54B5">
            <w:pPr>
              <w:adjustRightInd w:val="0"/>
              <w:rPr>
                <w:rFonts w:ascii="Arial" w:hAnsi="Arial" w:cs="Arial"/>
                <w:sz w:val="24"/>
                <w:szCs w:val="24"/>
              </w:rPr>
            </w:pPr>
          </w:p>
        </w:tc>
      </w:tr>
      <w:tr w:rsidR="007B54B5" w:rsidRPr="00EE50F7" w14:paraId="0EF20DD8" w14:textId="77777777" w:rsidTr="007B54B5">
        <w:trPr>
          <w:cantSplit/>
        </w:trPr>
        <w:tc>
          <w:tcPr>
            <w:tcW w:w="0" w:type="auto"/>
            <w:gridSpan w:val="7"/>
            <w:tcBorders>
              <w:top w:val="single" w:sz="18" w:space="0" w:color="auto"/>
              <w:left w:val="nil"/>
              <w:bottom w:val="nil"/>
              <w:right w:val="nil"/>
            </w:tcBorders>
            <w:shd w:val="clear" w:color="auto" w:fill="auto"/>
          </w:tcPr>
          <w:p w14:paraId="2A86C2F5" w14:textId="77777777"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a. Dependent Variable: Audit Delay</w:t>
            </w:r>
          </w:p>
        </w:tc>
      </w:tr>
      <w:tr w:rsidR="007B54B5" w:rsidRPr="00EE50F7" w14:paraId="4E091418" w14:textId="77777777" w:rsidTr="007B54B5">
        <w:trPr>
          <w:cantSplit/>
        </w:trPr>
        <w:tc>
          <w:tcPr>
            <w:tcW w:w="0" w:type="auto"/>
            <w:gridSpan w:val="7"/>
            <w:tcBorders>
              <w:top w:val="nil"/>
              <w:left w:val="nil"/>
              <w:bottom w:val="nil"/>
              <w:right w:val="nil"/>
            </w:tcBorders>
            <w:shd w:val="clear" w:color="auto" w:fill="auto"/>
          </w:tcPr>
          <w:p w14:paraId="7709CCF7" w14:textId="2459B200" w:rsidR="007B54B5" w:rsidRPr="00EE50F7" w:rsidRDefault="007B54B5" w:rsidP="007B54B5">
            <w:pPr>
              <w:adjustRightInd w:val="0"/>
              <w:ind w:left="60" w:right="60"/>
              <w:rPr>
                <w:rFonts w:ascii="Arial" w:hAnsi="Arial" w:cs="Arial"/>
                <w:sz w:val="18"/>
                <w:szCs w:val="18"/>
              </w:rPr>
            </w:pPr>
            <w:r w:rsidRPr="00EE50F7">
              <w:rPr>
                <w:rFonts w:ascii="Arial" w:hAnsi="Arial" w:cs="Arial"/>
                <w:sz w:val="18"/>
                <w:szCs w:val="18"/>
              </w:rPr>
              <w:t>b. Predic</w:t>
            </w:r>
            <w:r>
              <w:rPr>
                <w:rFonts w:ascii="Arial" w:hAnsi="Arial" w:cs="Arial"/>
                <w:sz w:val="18"/>
                <w:szCs w:val="18"/>
              </w:rPr>
              <w:t>tors: (Constant), Profitabilility</w:t>
            </w:r>
            <w:r w:rsidRPr="00EE50F7">
              <w:rPr>
                <w:rFonts w:ascii="Arial" w:hAnsi="Arial" w:cs="Arial"/>
                <w:sz w:val="18"/>
                <w:szCs w:val="18"/>
              </w:rPr>
              <w:t xml:space="preserve">, </w:t>
            </w:r>
            <w:r>
              <w:rPr>
                <w:rFonts w:ascii="Arial" w:hAnsi="Arial" w:cs="Arial"/>
                <w:sz w:val="18"/>
                <w:szCs w:val="18"/>
              </w:rPr>
              <w:t xml:space="preserve">Company Size,  </w:t>
            </w:r>
            <w:r w:rsidRPr="00EE50F7">
              <w:rPr>
                <w:rFonts w:ascii="Arial" w:hAnsi="Arial" w:cs="Arial"/>
                <w:sz w:val="18"/>
                <w:szCs w:val="18"/>
              </w:rPr>
              <w:t>KAP</w:t>
            </w:r>
            <w:r>
              <w:rPr>
                <w:rFonts w:ascii="Arial" w:hAnsi="Arial" w:cs="Arial"/>
                <w:sz w:val="18"/>
                <w:szCs w:val="18"/>
              </w:rPr>
              <w:t xml:space="preserve"> Size</w:t>
            </w:r>
          </w:p>
        </w:tc>
      </w:tr>
    </w:tbl>
    <w:p w14:paraId="2FF7C3F2" w14:textId="77777777" w:rsidR="007B54B5" w:rsidRPr="00D87E15" w:rsidRDefault="007B54B5" w:rsidP="00D87E15">
      <w:pPr>
        <w:pStyle w:val="BodyText"/>
        <w:spacing w:before="3"/>
        <w:ind w:left="0"/>
        <w:jc w:val="center"/>
        <w:rPr>
          <w:b/>
          <w:color w:val="000000" w:themeColor="text1"/>
          <w:lang w:val="id-ID"/>
        </w:rPr>
      </w:pPr>
    </w:p>
    <w:p w14:paraId="27843791" w14:textId="051EB913" w:rsidR="008F2301" w:rsidRPr="007E7D48" w:rsidRDefault="007B54B5" w:rsidP="007B54B5">
      <w:pPr>
        <w:pStyle w:val="BodyText"/>
        <w:spacing w:before="3"/>
        <w:ind w:left="0" w:firstLine="284"/>
        <w:jc w:val="both"/>
        <w:rPr>
          <w:color w:val="000000" w:themeColor="text1"/>
          <w:lang w:val="id-ID"/>
        </w:rPr>
      </w:pPr>
      <w:r w:rsidRPr="007B54B5">
        <w:rPr>
          <w:color w:val="000000" w:themeColor="text1"/>
          <w:lang w:val="id-ID"/>
        </w:rPr>
        <w:t>The test results above show the value of Sig. 0.019. The significance value is below the level of 0.05 indicating that the independent variables together (simultaneously) have a significant effect on audit delay.</w:t>
      </w:r>
    </w:p>
    <w:p w14:paraId="193E9A1D" w14:textId="77777777" w:rsidR="004E448F" w:rsidRDefault="004E448F" w:rsidP="00C36D99">
      <w:pPr>
        <w:pStyle w:val="BodyText"/>
        <w:spacing w:before="3"/>
        <w:ind w:left="426" w:hanging="426"/>
        <w:jc w:val="both"/>
        <w:rPr>
          <w:b/>
          <w:color w:val="000000" w:themeColor="text1"/>
          <w:sz w:val="24"/>
          <w:szCs w:val="24"/>
          <w:lang w:val="id-ID"/>
        </w:rPr>
      </w:pPr>
    </w:p>
    <w:p w14:paraId="7AD21D79" w14:textId="4740F416" w:rsidR="007E7D48" w:rsidRPr="00F916CC" w:rsidRDefault="00F916CC" w:rsidP="00C36D99">
      <w:pPr>
        <w:pStyle w:val="BodyText"/>
        <w:spacing w:before="3"/>
        <w:ind w:left="426" w:hanging="426"/>
        <w:jc w:val="both"/>
        <w:rPr>
          <w:b/>
          <w:color w:val="000000" w:themeColor="text1"/>
          <w:lang w:val="id-ID"/>
        </w:rPr>
      </w:pPr>
      <w:r>
        <w:rPr>
          <w:b/>
          <w:color w:val="000000" w:themeColor="text1"/>
          <w:lang w:val="id-ID"/>
        </w:rPr>
        <w:t xml:space="preserve">F. </w:t>
      </w:r>
      <w:r w:rsidR="007E7D48" w:rsidRPr="00F916CC">
        <w:rPr>
          <w:b/>
          <w:color w:val="000000" w:themeColor="text1"/>
          <w:lang w:val="id-ID"/>
        </w:rPr>
        <w:t>Coefficient of Determination Test</w:t>
      </w:r>
    </w:p>
    <w:p w14:paraId="11AAFEB0" w14:textId="565F5F78" w:rsidR="004E448F" w:rsidRDefault="00F916CC" w:rsidP="007B54B5">
      <w:pPr>
        <w:pStyle w:val="BodyText"/>
        <w:spacing w:before="3"/>
        <w:ind w:left="0" w:firstLine="284"/>
        <w:jc w:val="both"/>
        <w:rPr>
          <w:color w:val="000000" w:themeColor="text1"/>
          <w:lang w:val="id-ID"/>
        </w:rPr>
      </w:pPr>
      <w:r w:rsidRPr="00F916CC">
        <w:rPr>
          <w:color w:val="000000" w:themeColor="text1"/>
          <w:lang w:val="id-ID"/>
        </w:rPr>
        <w:t>The R</w:t>
      </w:r>
      <w:r w:rsidRPr="00F916CC">
        <w:rPr>
          <w:color w:val="000000" w:themeColor="text1"/>
          <w:vertAlign w:val="superscript"/>
          <w:lang w:val="id-ID"/>
        </w:rPr>
        <w:t>2</w:t>
      </w:r>
      <w:r w:rsidRPr="00F916CC">
        <w:rPr>
          <w:color w:val="000000" w:themeColor="text1"/>
          <w:lang w:val="id-ID"/>
        </w:rPr>
        <w:t xml:space="preserve"> test (Coefficient of Determination Test) is useful for measuring</w:t>
      </w:r>
      <w:r w:rsidR="00B42B76">
        <w:rPr>
          <w:color w:val="000000" w:themeColor="text1"/>
          <w:lang w:val="id-ID"/>
        </w:rPr>
        <w:t xml:space="preserve"> how the independent variables </w:t>
      </w:r>
      <w:r w:rsidRPr="00F916CC">
        <w:rPr>
          <w:color w:val="000000" w:themeColor="text1"/>
          <w:lang w:val="id-ID"/>
        </w:rPr>
        <w:t>affect the changes that o</w:t>
      </w:r>
      <w:r w:rsidR="00B42B76">
        <w:rPr>
          <w:color w:val="000000" w:themeColor="text1"/>
          <w:lang w:val="id-ID"/>
        </w:rPr>
        <w:t>ccur in the dependent variable.</w:t>
      </w:r>
    </w:p>
    <w:p w14:paraId="23DE542A" w14:textId="77777777" w:rsidR="00132145" w:rsidRDefault="00132145" w:rsidP="007B54B5">
      <w:pPr>
        <w:pStyle w:val="BodyText"/>
        <w:spacing w:before="3"/>
        <w:ind w:left="0" w:firstLine="284"/>
        <w:jc w:val="both"/>
        <w:rPr>
          <w:color w:val="000000" w:themeColor="text1"/>
          <w:lang w:val="id-ID"/>
        </w:rPr>
      </w:pPr>
    </w:p>
    <w:p w14:paraId="3449B78D" w14:textId="7FAEC602" w:rsidR="00D87E15" w:rsidRPr="00132145" w:rsidRDefault="007B54B5" w:rsidP="00D87E15">
      <w:pPr>
        <w:pStyle w:val="BodyText"/>
        <w:spacing w:before="3"/>
        <w:ind w:left="142"/>
        <w:jc w:val="center"/>
        <w:rPr>
          <w:b/>
          <w:color w:val="000000" w:themeColor="text1"/>
          <w:lang w:val="id-ID"/>
        </w:rPr>
      </w:pPr>
      <w:r w:rsidRPr="00132145">
        <w:rPr>
          <w:b/>
          <w:color w:val="000000" w:themeColor="text1"/>
          <w:lang w:val="id-ID"/>
        </w:rPr>
        <w:lastRenderedPageBreak/>
        <w:t>Table 6</w:t>
      </w:r>
      <w:r w:rsidR="00D87E15" w:rsidRPr="00132145">
        <w:rPr>
          <w:b/>
          <w:color w:val="000000" w:themeColor="text1"/>
          <w:lang w:val="id-ID"/>
        </w:rPr>
        <w:t>. Determination Test Results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5"/>
        <w:gridCol w:w="635"/>
        <w:gridCol w:w="891"/>
        <w:gridCol w:w="1293"/>
        <w:gridCol w:w="1546"/>
      </w:tblGrid>
      <w:tr w:rsidR="00AC1ACC" w:rsidRPr="00132145" w14:paraId="5F454B68" w14:textId="77777777" w:rsidTr="00AC1ACC">
        <w:trPr>
          <w:cantSplit/>
          <w:jc w:val="center"/>
        </w:trPr>
        <w:tc>
          <w:tcPr>
            <w:tcW w:w="5000" w:type="pct"/>
            <w:gridSpan w:val="5"/>
            <w:tcBorders>
              <w:top w:val="nil"/>
              <w:left w:val="nil"/>
              <w:bottom w:val="nil"/>
              <w:right w:val="nil"/>
            </w:tcBorders>
            <w:shd w:val="clear" w:color="auto" w:fill="auto"/>
            <w:vAlign w:val="center"/>
          </w:tcPr>
          <w:p w14:paraId="587D702D" w14:textId="77777777" w:rsidR="00AC1ACC" w:rsidRPr="00132145" w:rsidRDefault="00AC1ACC" w:rsidP="00AC1ACC">
            <w:pPr>
              <w:adjustRightInd w:val="0"/>
              <w:ind w:right="60"/>
              <w:rPr>
                <w:rFonts w:ascii="Arial" w:hAnsi="Arial" w:cs="Arial"/>
                <w:sz w:val="20"/>
                <w:szCs w:val="20"/>
              </w:rPr>
            </w:pPr>
            <w:r w:rsidRPr="00132145">
              <w:rPr>
                <w:rFonts w:ascii="Arial" w:hAnsi="Arial" w:cs="Arial"/>
                <w:b/>
                <w:bCs/>
                <w:sz w:val="20"/>
                <w:szCs w:val="20"/>
              </w:rPr>
              <w:t xml:space="preserve">                                     Model Summary</w:t>
            </w:r>
            <w:r w:rsidRPr="00132145">
              <w:rPr>
                <w:rFonts w:ascii="Arial" w:hAnsi="Arial" w:cs="Arial"/>
                <w:b/>
                <w:bCs/>
                <w:sz w:val="20"/>
                <w:szCs w:val="20"/>
                <w:vertAlign w:val="superscript"/>
              </w:rPr>
              <w:t>b</w:t>
            </w:r>
          </w:p>
        </w:tc>
      </w:tr>
      <w:tr w:rsidR="00AC1ACC" w:rsidRPr="00EE50F7" w14:paraId="50E2D9CB" w14:textId="77777777" w:rsidTr="00AC1ACC">
        <w:trPr>
          <w:cantSplit/>
          <w:trHeight w:val="320"/>
          <w:jc w:val="center"/>
        </w:trPr>
        <w:tc>
          <w:tcPr>
            <w:tcW w:w="703" w:type="pct"/>
            <w:vMerge w:val="restart"/>
            <w:tcBorders>
              <w:top w:val="single" w:sz="18" w:space="0" w:color="auto"/>
              <w:left w:val="single" w:sz="18" w:space="0" w:color="auto"/>
              <w:bottom w:val="nil"/>
              <w:right w:val="single" w:sz="18" w:space="0" w:color="auto"/>
            </w:tcBorders>
            <w:shd w:val="clear" w:color="auto" w:fill="auto"/>
            <w:vAlign w:val="bottom"/>
          </w:tcPr>
          <w:p w14:paraId="006AC58D" w14:textId="77777777" w:rsidR="00AC1ACC" w:rsidRPr="00EE50F7" w:rsidRDefault="00AC1ACC" w:rsidP="00AC1ACC">
            <w:pPr>
              <w:adjustRightInd w:val="0"/>
              <w:ind w:left="60" w:right="60"/>
              <w:rPr>
                <w:rFonts w:ascii="Arial" w:hAnsi="Arial" w:cs="Arial"/>
                <w:sz w:val="18"/>
                <w:szCs w:val="18"/>
              </w:rPr>
            </w:pPr>
            <w:r w:rsidRPr="00EE50F7">
              <w:rPr>
                <w:rFonts w:ascii="Arial" w:hAnsi="Arial" w:cs="Arial"/>
                <w:sz w:val="18"/>
                <w:szCs w:val="18"/>
              </w:rPr>
              <w:t>Model</w:t>
            </w:r>
          </w:p>
        </w:tc>
        <w:tc>
          <w:tcPr>
            <w:tcW w:w="625" w:type="pct"/>
            <w:vMerge w:val="restart"/>
            <w:tcBorders>
              <w:top w:val="single" w:sz="18" w:space="0" w:color="auto"/>
              <w:left w:val="single" w:sz="18" w:space="0" w:color="auto"/>
              <w:bottom w:val="nil"/>
              <w:right w:val="single" w:sz="18" w:space="0" w:color="auto"/>
            </w:tcBorders>
            <w:shd w:val="clear" w:color="auto" w:fill="auto"/>
            <w:vAlign w:val="bottom"/>
          </w:tcPr>
          <w:p w14:paraId="1B2973DD" w14:textId="77777777" w:rsidR="00AC1ACC" w:rsidRPr="00EE50F7" w:rsidRDefault="00AC1ACC" w:rsidP="00AC1ACC">
            <w:pPr>
              <w:adjustRightInd w:val="0"/>
              <w:ind w:left="60" w:right="60"/>
              <w:jc w:val="center"/>
              <w:rPr>
                <w:rFonts w:ascii="Arial" w:hAnsi="Arial" w:cs="Arial"/>
                <w:sz w:val="18"/>
                <w:szCs w:val="18"/>
              </w:rPr>
            </w:pPr>
            <w:r w:rsidRPr="00EE50F7">
              <w:rPr>
                <w:rFonts w:ascii="Arial" w:hAnsi="Arial" w:cs="Arial"/>
                <w:sz w:val="18"/>
                <w:szCs w:val="18"/>
              </w:rPr>
              <w:t>R</w:t>
            </w:r>
          </w:p>
        </w:tc>
        <w:tc>
          <w:tcPr>
            <w:tcW w:w="877" w:type="pct"/>
            <w:vMerge w:val="restart"/>
            <w:tcBorders>
              <w:top w:val="single" w:sz="18" w:space="0" w:color="auto"/>
              <w:left w:val="single" w:sz="18" w:space="0" w:color="auto"/>
              <w:bottom w:val="nil"/>
              <w:right w:val="single" w:sz="18" w:space="0" w:color="auto"/>
            </w:tcBorders>
            <w:shd w:val="clear" w:color="auto" w:fill="auto"/>
            <w:vAlign w:val="bottom"/>
          </w:tcPr>
          <w:p w14:paraId="204E9D43" w14:textId="77777777" w:rsidR="00AC1ACC" w:rsidRPr="00EE50F7" w:rsidRDefault="00AC1ACC" w:rsidP="00AC1ACC">
            <w:pPr>
              <w:adjustRightInd w:val="0"/>
              <w:ind w:left="60" w:right="60"/>
              <w:jc w:val="center"/>
              <w:rPr>
                <w:rFonts w:ascii="Arial" w:hAnsi="Arial" w:cs="Arial"/>
                <w:sz w:val="18"/>
                <w:szCs w:val="18"/>
              </w:rPr>
            </w:pPr>
            <w:r w:rsidRPr="00EE50F7">
              <w:rPr>
                <w:rFonts w:ascii="Arial" w:hAnsi="Arial" w:cs="Arial"/>
                <w:sz w:val="18"/>
                <w:szCs w:val="18"/>
              </w:rPr>
              <w:t>R Square</w:t>
            </w:r>
          </w:p>
        </w:tc>
        <w:tc>
          <w:tcPr>
            <w:tcW w:w="1273" w:type="pct"/>
            <w:vMerge w:val="restart"/>
            <w:tcBorders>
              <w:top w:val="single" w:sz="18" w:space="0" w:color="auto"/>
              <w:left w:val="single" w:sz="18" w:space="0" w:color="auto"/>
              <w:bottom w:val="nil"/>
              <w:right w:val="single" w:sz="18" w:space="0" w:color="auto"/>
            </w:tcBorders>
            <w:shd w:val="clear" w:color="auto" w:fill="auto"/>
            <w:vAlign w:val="bottom"/>
          </w:tcPr>
          <w:p w14:paraId="02F3C642" w14:textId="77777777" w:rsidR="00AC1ACC" w:rsidRPr="00EE50F7" w:rsidRDefault="00AC1ACC" w:rsidP="00AC1ACC">
            <w:pPr>
              <w:adjustRightInd w:val="0"/>
              <w:ind w:left="60" w:right="60"/>
              <w:jc w:val="center"/>
              <w:rPr>
                <w:rFonts w:ascii="Arial" w:hAnsi="Arial" w:cs="Arial"/>
                <w:sz w:val="18"/>
                <w:szCs w:val="18"/>
              </w:rPr>
            </w:pPr>
            <w:r w:rsidRPr="00EE50F7">
              <w:rPr>
                <w:rFonts w:ascii="Arial" w:hAnsi="Arial" w:cs="Arial"/>
                <w:sz w:val="18"/>
                <w:szCs w:val="18"/>
              </w:rPr>
              <w:t>Adjusted R Square</w:t>
            </w:r>
          </w:p>
        </w:tc>
        <w:tc>
          <w:tcPr>
            <w:tcW w:w="1523" w:type="pct"/>
            <w:vMerge w:val="restart"/>
            <w:tcBorders>
              <w:top w:val="single" w:sz="18" w:space="0" w:color="auto"/>
              <w:left w:val="single" w:sz="18" w:space="0" w:color="auto"/>
              <w:bottom w:val="nil"/>
              <w:right w:val="single" w:sz="18" w:space="0" w:color="auto"/>
            </w:tcBorders>
            <w:shd w:val="clear" w:color="auto" w:fill="auto"/>
            <w:vAlign w:val="bottom"/>
          </w:tcPr>
          <w:p w14:paraId="5D098291" w14:textId="77777777" w:rsidR="00AC1ACC" w:rsidRPr="00EE50F7" w:rsidRDefault="00AC1ACC" w:rsidP="00AC1ACC">
            <w:pPr>
              <w:adjustRightInd w:val="0"/>
              <w:ind w:left="60" w:right="60"/>
              <w:jc w:val="center"/>
              <w:rPr>
                <w:rFonts w:ascii="Arial" w:hAnsi="Arial" w:cs="Arial"/>
                <w:sz w:val="18"/>
                <w:szCs w:val="18"/>
              </w:rPr>
            </w:pPr>
            <w:r w:rsidRPr="00EE50F7">
              <w:rPr>
                <w:rFonts w:ascii="Arial" w:hAnsi="Arial" w:cs="Arial"/>
                <w:sz w:val="18"/>
                <w:szCs w:val="18"/>
              </w:rPr>
              <w:t>Std. Error of the Estimate</w:t>
            </w:r>
          </w:p>
        </w:tc>
      </w:tr>
      <w:tr w:rsidR="00AC1ACC" w:rsidRPr="00EE50F7" w14:paraId="5E7A8548" w14:textId="77777777" w:rsidTr="00AC1ACC">
        <w:trPr>
          <w:cantSplit/>
          <w:trHeight w:val="207"/>
          <w:jc w:val="center"/>
        </w:trPr>
        <w:tc>
          <w:tcPr>
            <w:tcW w:w="703" w:type="pct"/>
            <w:vMerge/>
            <w:tcBorders>
              <w:top w:val="nil"/>
              <w:left w:val="single" w:sz="18" w:space="0" w:color="auto"/>
              <w:bottom w:val="single" w:sz="18" w:space="0" w:color="auto"/>
              <w:right w:val="single" w:sz="18" w:space="0" w:color="auto"/>
            </w:tcBorders>
            <w:shd w:val="clear" w:color="auto" w:fill="auto"/>
            <w:vAlign w:val="bottom"/>
          </w:tcPr>
          <w:p w14:paraId="29CA2321" w14:textId="77777777" w:rsidR="00AC1ACC" w:rsidRPr="00EE50F7" w:rsidRDefault="00AC1ACC" w:rsidP="00AC1ACC">
            <w:pPr>
              <w:adjustRightInd w:val="0"/>
              <w:rPr>
                <w:rFonts w:ascii="Arial" w:hAnsi="Arial" w:cs="Arial"/>
                <w:sz w:val="18"/>
                <w:szCs w:val="18"/>
              </w:rPr>
            </w:pPr>
          </w:p>
        </w:tc>
        <w:tc>
          <w:tcPr>
            <w:tcW w:w="625" w:type="pct"/>
            <w:vMerge/>
            <w:tcBorders>
              <w:top w:val="nil"/>
              <w:left w:val="single" w:sz="18" w:space="0" w:color="auto"/>
              <w:bottom w:val="single" w:sz="18" w:space="0" w:color="auto"/>
              <w:right w:val="single" w:sz="18" w:space="0" w:color="auto"/>
            </w:tcBorders>
            <w:shd w:val="clear" w:color="auto" w:fill="auto"/>
            <w:vAlign w:val="bottom"/>
          </w:tcPr>
          <w:p w14:paraId="4AB26F6C" w14:textId="77777777" w:rsidR="00AC1ACC" w:rsidRPr="00EE50F7" w:rsidRDefault="00AC1ACC" w:rsidP="00AC1ACC">
            <w:pPr>
              <w:adjustRightInd w:val="0"/>
              <w:rPr>
                <w:rFonts w:ascii="Arial" w:hAnsi="Arial" w:cs="Arial"/>
                <w:sz w:val="18"/>
                <w:szCs w:val="18"/>
              </w:rPr>
            </w:pPr>
          </w:p>
        </w:tc>
        <w:tc>
          <w:tcPr>
            <w:tcW w:w="877" w:type="pct"/>
            <w:vMerge/>
            <w:tcBorders>
              <w:top w:val="nil"/>
              <w:left w:val="single" w:sz="18" w:space="0" w:color="auto"/>
              <w:bottom w:val="single" w:sz="18" w:space="0" w:color="auto"/>
              <w:right w:val="single" w:sz="18" w:space="0" w:color="auto"/>
            </w:tcBorders>
            <w:shd w:val="clear" w:color="auto" w:fill="auto"/>
            <w:vAlign w:val="bottom"/>
          </w:tcPr>
          <w:p w14:paraId="3A69522F" w14:textId="77777777" w:rsidR="00AC1ACC" w:rsidRPr="00EE50F7" w:rsidRDefault="00AC1ACC" w:rsidP="00AC1ACC">
            <w:pPr>
              <w:adjustRightInd w:val="0"/>
              <w:rPr>
                <w:rFonts w:ascii="Arial" w:hAnsi="Arial" w:cs="Arial"/>
                <w:sz w:val="18"/>
                <w:szCs w:val="18"/>
              </w:rPr>
            </w:pPr>
          </w:p>
        </w:tc>
        <w:tc>
          <w:tcPr>
            <w:tcW w:w="1273" w:type="pct"/>
            <w:vMerge/>
            <w:tcBorders>
              <w:top w:val="nil"/>
              <w:left w:val="single" w:sz="18" w:space="0" w:color="auto"/>
              <w:bottom w:val="single" w:sz="18" w:space="0" w:color="auto"/>
              <w:right w:val="single" w:sz="18" w:space="0" w:color="auto"/>
            </w:tcBorders>
            <w:shd w:val="clear" w:color="auto" w:fill="auto"/>
            <w:vAlign w:val="bottom"/>
          </w:tcPr>
          <w:p w14:paraId="7582A7A4" w14:textId="77777777" w:rsidR="00AC1ACC" w:rsidRPr="00EE50F7" w:rsidRDefault="00AC1ACC" w:rsidP="00AC1ACC">
            <w:pPr>
              <w:adjustRightInd w:val="0"/>
              <w:rPr>
                <w:rFonts w:ascii="Arial" w:hAnsi="Arial" w:cs="Arial"/>
                <w:sz w:val="18"/>
                <w:szCs w:val="18"/>
              </w:rPr>
            </w:pPr>
          </w:p>
        </w:tc>
        <w:tc>
          <w:tcPr>
            <w:tcW w:w="1523" w:type="pct"/>
            <w:vMerge/>
            <w:tcBorders>
              <w:top w:val="nil"/>
              <w:left w:val="single" w:sz="18" w:space="0" w:color="auto"/>
              <w:bottom w:val="single" w:sz="18" w:space="0" w:color="auto"/>
              <w:right w:val="single" w:sz="18" w:space="0" w:color="auto"/>
            </w:tcBorders>
            <w:shd w:val="clear" w:color="auto" w:fill="auto"/>
            <w:vAlign w:val="bottom"/>
          </w:tcPr>
          <w:p w14:paraId="3066453A" w14:textId="77777777" w:rsidR="00AC1ACC" w:rsidRPr="00EE50F7" w:rsidRDefault="00AC1ACC" w:rsidP="00AC1ACC">
            <w:pPr>
              <w:adjustRightInd w:val="0"/>
              <w:rPr>
                <w:rFonts w:ascii="Arial" w:hAnsi="Arial" w:cs="Arial"/>
                <w:sz w:val="18"/>
                <w:szCs w:val="18"/>
              </w:rPr>
            </w:pPr>
          </w:p>
        </w:tc>
      </w:tr>
      <w:tr w:rsidR="00AC1ACC" w:rsidRPr="00EE50F7" w14:paraId="7E0BEEDA" w14:textId="77777777" w:rsidTr="00AC1ACC">
        <w:trPr>
          <w:cantSplit/>
          <w:jc w:val="center"/>
        </w:trPr>
        <w:tc>
          <w:tcPr>
            <w:tcW w:w="703" w:type="pct"/>
            <w:tcBorders>
              <w:top w:val="single" w:sz="18" w:space="0" w:color="auto"/>
              <w:left w:val="single" w:sz="18" w:space="0" w:color="auto"/>
              <w:bottom w:val="single" w:sz="18" w:space="0" w:color="auto"/>
              <w:right w:val="single" w:sz="18" w:space="0" w:color="auto"/>
            </w:tcBorders>
            <w:shd w:val="clear" w:color="auto" w:fill="auto"/>
          </w:tcPr>
          <w:p w14:paraId="1D57F260" w14:textId="77777777" w:rsidR="00AC1ACC" w:rsidRPr="00EE50F7" w:rsidRDefault="00AC1ACC" w:rsidP="00AC1ACC">
            <w:pPr>
              <w:adjustRightInd w:val="0"/>
              <w:ind w:left="60" w:right="60"/>
              <w:rPr>
                <w:rFonts w:ascii="Arial" w:hAnsi="Arial" w:cs="Arial"/>
                <w:sz w:val="18"/>
                <w:szCs w:val="18"/>
              </w:rPr>
            </w:pPr>
            <w:r w:rsidRPr="00EE50F7">
              <w:rPr>
                <w:rFonts w:ascii="Arial" w:hAnsi="Arial" w:cs="Arial"/>
                <w:sz w:val="18"/>
                <w:szCs w:val="18"/>
              </w:rPr>
              <w:t>1</w:t>
            </w:r>
          </w:p>
        </w:tc>
        <w:tc>
          <w:tcPr>
            <w:tcW w:w="625" w:type="pct"/>
            <w:tcBorders>
              <w:top w:val="single" w:sz="18" w:space="0" w:color="auto"/>
              <w:left w:val="single" w:sz="18" w:space="0" w:color="auto"/>
              <w:bottom w:val="single" w:sz="18" w:space="0" w:color="auto"/>
              <w:right w:val="single" w:sz="18" w:space="0" w:color="auto"/>
            </w:tcBorders>
            <w:shd w:val="clear" w:color="auto" w:fill="auto"/>
          </w:tcPr>
          <w:p w14:paraId="51FA10D6" w14:textId="77777777" w:rsidR="00AC1ACC" w:rsidRPr="00EE50F7" w:rsidRDefault="00AC1ACC" w:rsidP="00AC1ACC">
            <w:pPr>
              <w:adjustRightInd w:val="0"/>
              <w:ind w:left="60" w:right="60"/>
              <w:jc w:val="right"/>
              <w:rPr>
                <w:rFonts w:ascii="Arial" w:hAnsi="Arial" w:cs="Arial"/>
                <w:sz w:val="18"/>
                <w:szCs w:val="18"/>
              </w:rPr>
            </w:pPr>
            <w:r w:rsidRPr="00EE50F7">
              <w:rPr>
                <w:rFonts w:ascii="Arial" w:hAnsi="Arial" w:cs="Arial"/>
                <w:sz w:val="18"/>
                <w:szCs w:val="18"/>
              </w:rPr>
              <w:t>,379</w:t>
            </w:r>
            <w:r w:rsidRPr="00EE50F7">
              <w:rPr>
                <w:rFonts w:ascii="Arial" w:hAnsi="Arial" w:cs="Arial"/>
                <w:sz w:val="18"/>
                <w:szCs w:val="18"/>
                <w:vertAlign w:val="superscript"/>
              </w:rPr>
              <w:t>a</w:t>
            </w:r>
          </w:p>
        </w:tc>
        <w:tc>
          <w:tcPr>
            <w:tcW w:w="877" w:type="pct"/>
            <w:tcBorders>
              <w:top w:val="single" w:sz="18" w:space="0" w:color="auto"/>
              <w:left w:val="single" w:sz="18" w:space="0" w:color="auto"/>
              <w:bottom w:val="single" w:sz="18" w:space="0" w:color="auto"/>
              <w:right w:val="single" w:sz="18" w:space="0" w:color="auto"/>
            </w:tcBorders>
            <w:shd w:val="clear" w:color="auto" w:fill="auto"/>
          </w:tcPr>
          <w:p w14:paraId="0164B1EB" w14:textId="77777777" w:rsidR="00AC1ACC" w:rsidRPr="00EE50F7" w:rsidRDefault="00AC1ACC" w:rsidP="00AC1ACC">
            <w:pPr>
              <w:adjustRightInd w:val="0"/>
              <w:ind w:left="60" w:right="60"/>
              <w:jc w:val="right"/>
              <w:rPr>
                <w:rFonts w:ascii="Arial" w:hAnsi="Arial" w:cs="Arial"/>
                <w:sz w:val="18"/>
                <w:szCs w:val="18"/>
              </w:rPr>
            </w:pPr>
            <w:r w:rsidRPr="00EE50F7">
              <w:rPr>
                <w:rFonts w:ascii="Arial" w:hAnsi="Arial" w:cs="Arial"/>
                <w:sz w:val="18"/>
                <w:szCs w:val="18"/>
              </w:rPr>
              <w:t>,144</w:t>
            </w:r>
          </w:p>
        </w:tc>
        <w:tc>
          <w:tcPr>
            <w:tcW w:w="1273" w:type="pct"/>
            <w:tcBorders>
              <w:top w:val="single" w:sz="18" w:space="0" w:color="auto"/>
              <w:left w:val="single" w:sz="18" w:space="0" w:color="auto"/>
              <w:bottom w:val="single" w:sz="18" w:space="0" w:color="auto"/>
              <w:right w:val="single" w:sz="18" w:space="0" w:color="auto"/>
            </w:tcBorders>
            <w:shd w:val="clear" w:color="auto" w:fill="auto"/>
          </w:tcPr>
          <w:p w14:paraId="0F0A457D" w14:textId="77777777" w:rsidR="00AC1ACC" w:rsidRPr="00EE50F7" w:rsidRDefault="00AC1ACC" w:rsidP="00AC1ACC">
            <w:pPr>
              <w:adjustRightInd w:val="0"/>
              <w:ind w:left="60" w:right="60"/>
              <w:jc w:val="right"/>
              <w:rPr>
                <w:rFonts w:ascii="Arial" w:hAnsi="Arial" w:cs="Arial"/>
                <w:sz w:val="18"/>
                <w:szCs w:val="18"/>
              </w:rPr>
            </w:pPr>
            <w:r w:rsidRPr="00EE50F7">
              <w:rPr>
                <w:rFonts w:ascii="Arial" w:hAnsi="Arial" w:cs="Arial"/>
                <w:sz w:val="18"/>
                <w:szCs w:val="18"/>
              </w:rPr>
              <w:t>,104</w:t>
            </w:r>
          </w:p>
        </w:tc>
        <w:tc>
          <w:tcPr>
            <w:tcW w:w="1523" w:type="pct"/>
            <w:tcBorders>
              <w:top w:val="single" w:sz="18" w:space="0" w:color="auto"/>
              <w:left w:val="single" w:sz="18" w:space="0" w:color="auto"/>
              <w:bottom w:val="single" w:sz="18" w:space="0" w:color="auto"/>
              <w:right w:val="single" w:sz="18" w:space="0" w:color="auto"/>
            </w:tcBorders>
            <w:shd w:val="clear" w:color="auto" w:fill="auto"/>
          </w:tcPr>
          <w:p w14:paraId="181879F8" w14:textId="77777777" w:rsidR="00AC1ACC" w:rsidRPr="00EE50F7" w:rsidRDefault="00AC1ACC" w:rsidP="00AC1ACC">
            <w:pPr>
              <w:adjustRightInd w:val="0"/>
              <w:ind w:left="60" w:right="60"/>
              <w:jc w:val="right"/>
              <w:rPr>
                <w:rFonts w:ascii="Arial" w:hAnsi="Arial" w:cs="Arial"/>
                <w:sz w:val="18"/>
                <w:szCs w:val="18"/>
              </w:rPr>
            </w:pPr>
            <w:r w:rsidRPr="00EE50F7">
              <w:rPr>
                <w:rFonts w:ascii="Arial" w:hAnsi="Arial" w:cs="Arial"/>
                <w:sz w:val="18"/>
                <w:szCs w:val="18"/>
              </w:rPr>
              <w:t>15,96527</w:t>
            </w:r>
          </w:p>
        </w:tc>
      </w:tr>
      <w:tr w:rsidR="00AC1ACC" w:rsidRPr="00EE50F7" w14:paraId="1955D146" w14:textId="77777777" w:rsidTr="00AC1ACC">
        <w:trPr>
          <w:cantSplit/>
          <w:jc w:val="center"/>
        </w:trPr>
        <w:tc>
          <w:tcPr>
            <w:tcW w:w="5000" w:type="pct"/>
            <w:gridSpan w:val="5"/>
            <w:tcBorders>
              <w:top w:val="nil"/>
              <w:left w:val="nil"/>
              <w:bottom w:val="nil"/>
              <w:right w:val="nil"/>
            </w:tcBorders>
            <w:shd w:val="clear" w:color="auto" w:fill="auto"/>
          </w:tcPr>
          <w:p w14:paraId="2AD71BE4" w14:textId="545463EE" w:rsidR="00AC1ACC" w:rsidRPr="00EE50F7" w:rsidRDefault="00AC1ACC" w:rsidP="00AC1ACC">
            <w:pPr>
              <w:adjustRightInd w:val="0"/>
              <w:ind w:left="60" w:right="60"/>
              <w:rPr>
                <w:rFonts w:ascii="Arial" w:hAnsi="Arial" w:cs="Arial"/>
                <w:sz w:val="18"/>
                <w:szCs w:val="18"/>
              </w:rPr>
            </w:pPr>
            <w:r w:rsidRPr="00EE50F7">
              <w:rPr>
                <w:rFonts w:ascii="Arial" w:hAnsi="Arial" w:cs="Arial"/>
                <w:sz w:val="18"/>
                <w:szCs w:val="18"/>
              </w:rPr>
              <w:t xml:space="preserve">a. Predictors: (Constant), </w:t>
            </w:r>
            <w:r>
              <w:rPr>
                <w:rFonts w:ascii="Arial" w:hAnsi="Arial" w:cs="Arial"/>
                <w:sz w:val="18"/>
                <w:szCs w:val="18"/>
              </w:rPr>
              <w:t>Profitabilility</w:t>
            </w:r>
            <w:r w:rsidRPr="00EE50F7">
              <w:rPr>
                <w:rFonts w:ascii="Arial" w:hAnsi="Arial" w:cs="Arial"/>
                <w:sz w:val="18"/>
                <w:szCs w:val="18"/>
              </w:rPr>
              <w:t xml:space="preserve">, </w:t>
            </w:r>
            <w:r>
              <w:rPr>
                <w:rFonts w:ascii="Arial" w:hAnsi="Arial" w:cs="Arial"/>
                <w:sz w:val="18"/>
                <w:szCs w:val="18"/>
              </w:rPr>
              <w:t xml:space="preserve">Company Size,  </w:t>
            </w:r>
            <w:r w:rsidRPr="00EE50F7">
              <w:rPr>
                <w:rFonts w:ascii="Arial" w:hAnsi="Arial" w:cs="Arial"/>
                <w:sz w:val="18"/>
                <w:szCs w:val="18"/>
              </w:rPr>
              <w:t>KAP</w:t>
            </w:r>
            <w:r>
              <w:rPr>
                <w:rFonts w:ascii="Arial" w:hAnsi="Arial" w:cs="Arial"/>
                <w:sz w:val="18"/>
                <w:szCs w:val="18"/>
              </w:rPr>
              <w:t xml:space="preserve"> Size</w:t>
            </w:r>
          </w:p>
        </w:tc>
      </w:tr>
      <w:tr w:rsidR="00AC1ACC" w:rsidRPr="00EE50F7" w14:paraId="729EEF73" w14:textId="77777777" w:rsidTr="00AC1ACC">
        <w:trPr>
          <w:cantSplit/>
          <w:jc w:val="center"/>
        </w:trPr>
        <w:tc>
          <w:tcPr>
            <w:tcW w:w="5000" w:type="pct"/>
            <w:gridSpan w:val="5"/>
            <w:tcBorders>
              <w:top w:val="nil"/>
              <w:left w:val="nil"/>
              <w:bottom w:val="nil"/>
              <w:right w:val="nil"/>
            </w:tcBorders>
            <w:shd w:val="clear" w:color="auto" w:fill="auto"/>
          </w:tcPr>
          <w:p w14:paraId="0C4A1CEF" w14:textId="77777777" w:rsidR="00AC1ACC" w:rsidRDefault="00AC1ACC" w:rsidP="00AC1ACC">
            <w:pPr>
              <w:adjustRightInd w:val="0"/>
              <w:ind w:left="60" w:right="60"/>
              <w:rPr>
                <w:rFonts w:ascii="Arial" w:hAnsi="Arial" w:cs="Arial"/>
                <w:sz w:val="18"/>
                <w:szCs w:val="18"/>
              </w:rPr>
            </w:pPr>
            <w:r w:rsidRPr="00EE50F7">
              <w:rPr>
                <w:rFonts w:ascii="Arial" w:hAnsi="Arial" w:cs="Arial"/>
                <w:sz w:val="18"/>
                <w:szCs w:val="18"/>
              </w:rPr>
              <w:t>b. Dependent Variable: Audit Delay</w:t>
            </w:r>
          </w:p>
          <w:p w14:paraId="1244C0A3" w14:textId="77777777" w:rsidR="00AC1ACC" w:rsidRPr="00EE50F7" w:rsidRDefault="00AC1ACC" w:rsidP="00AC1ACC">
            <w:pPr>
              <w:adjustRightInd w:val="0"/>
              <w:ind w:left="60" w:right="60"/>
              <w:rPr>
                <w:rFonts w:ascii="Arial" w:hAnsi="Arial" w:cs="Arial"/>
                <w:sz w:val="18"/>
                <w:szCs w:val="18"/>
              </w:rPr>
            </w:pPr>
          </w:p>
        </w:tc>
      </w:tr>
    </w:tbl>
    <w:p w14:paraId="2C1327D3" w14:textId="627B78F5" w:rsidR="00D87E15" w:rsidRPr="00F916CC" w:rsidRDefault="00B42B76" w:rsidP="007B54B5">
      <w:pPr>
        <w:pStyle w:val="BodyText"/>
        <w:spacing w:before="3"/>
        <w:ind w:left="0" w:firstLine="284"/>
        <w:jc w:val="both"/>
        <w:rPr>
          <w:color w:val="000000" w:themeColor="text1"/>
          <w:lang w:val="id-ID"/>
        </w:rPr>
      </w:pPr>
      <w:r>
        <w:rPr>
          <w:color w:val="000000" w:themeColor="text1"/>
          <w:lang w:val="id-ID"/>
        </w:rPr>
        <w:t xml:space="preserve">The table 6 </w:t>
      </w:r>
      <w:r w:rsidRPr="00B42B76">
        <w:rPr>
          <w:color w:val="000000" w:themeColor="text1"/>
          <w:lang w:val="id-ID"/>
        </w:rPr>
        <w:t>shows the effect of the independent variables, namely company size, KAP size, and profitability, on the dependent variable, namely audit delay. The value of Adjusted R Square is 0.104, which means the ability of the independent variable to explain the dependent variance is 10.4%, in the research model. Meanwhile, 89.6% of the variance of the dependent variable has not been able to be explained by the four independent variables in this study.</w:t>
      </w:r>
    </w:p>
    <w:p w14:paraId="5E623560" w14:textId="77777777" w:rsidR="008F2301" w:rsidRPr="00D87E15" w:rsidRDefault="008F2301" w:rsidP="00C36D99">
      <w:pPr>
        <w:pStyle w:val="BodyText"/>
        <w:spacing w:before="3"/>
        <w:ind w:left="426" w:hanging="426"/>
        <w:jc w:val="both"/>
        <w:rPr>
          <w:b/>
          <w:color w:val="000000" w:themeColor="text1"/>
          <w:sz w:val="24"/>
          <w:szCs w:val="24"/>
          <w:lang w:val="id-ID"/>
        </w:rPr>
      </w:pPr>
    </w:p>
    <w:p w14:paraId="5043DC63" w14:textId="1BC2A245" w:rsidR="00D87E15" w:rsidRPr="00B42B76" w:rsidRDefault="00B42B76" w:rsidP="00D87E15">
      <w:pPr>
        <w:pStyle w:val="Heading1"/>
        <w:tabs>
          <w:tab w:val="left" w:pos="-7938"/>
        </w:tabs>
        <w:spacing w:before="1" w:line="288" w:lineRule="auto"/>
        <w:ind w:left="0" w:right="636" w:firstLine="0"/>
        <w:jc w:val="center"/>
        <w:rPr>
          <w:color w:val="000000" w:themeColor="text1"/>
        </w:rPr>
      </w:pPr>
      <w:r>
        <w:rPr>
          <w:color w:val="000000" w:themeColor="text1"/>
          <w:lang w:val="id-ID"/>
        </w:rPr>
        <w:t xml:space="preserve">5. </w:t>
      </w:r>
      <w:r w:rsidRPr="00947C46">
        <w:rPr>
          <w:color w:val="000000" w:themeColor="text1"/>
        </w:rPr>
        <w:t>CONCLUSION</w:t>
      </w:r>
    </w:p>
    <w:p w14:paraId="71A67933" w14:textId="77777777" w:rsidR="00B42B76" w:rsidRPr="00B42B76" w:rsidRDefault="00B42B76" w:rsidP="00B42B76">
      <w:pPr>
        <w:pStyle w:val="BodyText"/>
        <w:spacing w:before="3"/>
        <w:ind w:firstLine="284"/>
        <w:jc w:val="both"/>
        <w:rPr>
          <w:color w:val="000000" w:themeColor="text1"/>
          <w:lang w:val="id-ID"/>
        </w:rPr>
      </w:pPr>
      <w:r w:rsidRPr="00B42B76">
        <w:rPr>
          <w:color w:val="000000" w:themeColor="text1"/>
          <w:lang w:val="id-ID"/>
        </w:rPr>
        <w:t>Based on the results of the partial test (t test) and the simultaneous test (F test) of the research and discussion in the previous section, the following conclusions are obtained:</w:t>
      </w:r>
    </w:p>
    <w:p w14:paraId="1A84977C" w14:textId="3A9080D0" w:rsidR="00B42B76" w:rsidRPr="00B42B76" w:rsidRDefault="00B42B76" w:rsidP="00E512A2">
      <w:pPr>
        <w:pStyle w:val="BodyText"/>
        <w:numPr>
          <w:ilvl w:val="0"/>
          <w:numId w:val="14"/>
        </w:numPr>
        <w:spacing w:before="3"/>
        <w:ind w:left="426" w:hanging="284"/>
        <w:jc w:val="both"/>
        <w:rPr>
          <w:color w:val="000000" w:themeColor="text1"/>
          <w:lang w:val="id-ID"/>
        </w:rPr>
      </w:pPr>
      <w:r w:rsidRPr="00B42B76">
        <w:rPr>
          <w:color w:val="000000" w:themeColor="text1"/>
          <w:lang w:val="id-ID"/>
        </w:rPr>
        <w:t>Firm size has a significant positive effect on audit delay in LQ 45 companies in 2016–2019 with a significance result of 0.037 below 0.05 and a regression coefficient of 1.546. This shows that the larger the size of the company being audited, the longer the audit delay will be, this is related to the more samples that must be taken and the wider the audit procedures that must be taken. So, the bigger the company size, the shorter the audit delay.</w:t>
      </w:r>
    </w:p>
    <w:p w14:paraId="6BB4308F" w14:textId="07B793FF" w:rsidR="00B42B76" w:rsidRPr="00B42B76" w:rsidRDefault="00B42B76" w:rsidP="00E512A2">
      <w:pPr>
        <w:pStyle w:val="BodyText"/>
        <w:numPr>
          <w:ilvl w:val="0"/>
          <w:numId w:val="14"/>
        </w:numPr>
        <w:spacing w:before="3"/>
        <w:ind w:left="426" w:hanging="284"/>
        <w:jc w:val="both"/>
        <w:rPr>
          <w:color w:val="000000" w:themeColor="text1"/>
          <w:lang w:val="id-ID"/>
        </w:rPr>
      </w:pPr>
      <w:r w:rsidRPr="00B42B76">
        <w:rPr>
          <w:color w:val="000000" w:themeColor="text1"/>
          <w:lang w:val="id-ID"/>
        </w:rPr>
        <w:t>The size of KAP has no effect on audit delay in LQ 45 companies listed on the Indonesia Stock Exchange in 2016–2019 with a significance value of 0.901, far above 0.05. This shows that KAPs affiliated with Big Four KAPs and Non-Big Four KAPs have the same good audit quality and are independent of the audit opinions they issue, because KAPs that have a good reputation will always maintain their reputation and are always objective and independent in their work. .</w:t>
      </w:r>
    </w:p>
    <w:p w14:paraId="7AB7C6D8" w14:textId="28B55622" w:rsidR="00B42B76" w:rsidRPr="00B42B76" w:rsidRDefault="00B42B76" w:rsidP="00E512A2">
      <w:pPr>
        <w:pStyle w:val="BodyText"/>
        <w:numPr>
          <w:ilvl w:val="0"/>
          <w:numId w:val="14"/>
        </w:numPr>
        <w:spacing w:before="3"/>
        <w:ind w:left="426" w:hanging="284"/>
        <w:jc w:val="both"/>
        <w:rPr>
          <w:color w:val="000000" w:themeColor="text1"/>
          <w:lang w:val="id-ID"/>
        </w:rPr>
      </w:pPr>
      <w:r w:rsidRPr="00B42B76">
        <w:rPr>
          <w:color w:val="000000" w:themeColor="text1"/>
          <w:lang w:val="id-ID"/>
        </w:rPr>
        <w:t>Profitability has a significant negative effect on audit delay in LQ 45 companies listed on the Indonesia Stock Exchange in 2016–2019 with a significance value of 0.015, far below 0.05 and a regression coefficient value of -0.445. This is because the greater the profits obtained by the company, the shorter the audit delay, because the company wants to convey the good news to its shareholders.</w:t>
      </w:r>
    </w:p>
    <w:p w14:paraId="54805518" w14:textId="4FB62E8B" w:rsidR="00B42B76" w:rsidRPr="00D87E15" w:rsidRDefault="00B42B76" w:rsidP="00E512A2">
      <w:pPr>
        <w:pStyle w:val="BodyText"/>
        <w:numPr>
          <w:ilvl w:val="0"/>
          <w:numId w:val="14"/>
        </w:numPr>
        <w:spacing w:before="3"/>
        <w:ind w:left="426" w:hanging="284"/>
        <w:jc w:val="both"/>
        <w:rPr>
          <w:color w:val="000000" w:themeColor="text1"/>
          <w:lang w:val="id-ID"/>
        </w:rPr>
      </w:pPr>
      <w:r w:rsidRPr="00B42B76">
        <w:rPr>
          <w:color w:val="000000" w:themeColor="text1"/>
          <w:lang w:val="id-ID"/>
        </w:rPr>
        <w:t>Simultaneous test results show that company size, KAP size, and profitability have a joint influence on audit delay in LQ 45 companies listed on the Indonesia Stock Exchange in 2016–2019. This shows that the larger the size of the company, the longer the audit delay. This is because the larger the size of the company, the more information it contains and the greater the pressure to process that information. The size of KAPs that include big four KAPs tend to present audits faster than non-big four KAPs because they have a good name that will be at stake. While the greater the profitability, the audit delay tends to be short, because high profitability is good news so the company will not delay in publishing its financial statements.</w:t>
      </w:r>
    </w:p>
    <w:p w14:paraId="5A20FDA0" w14:textId="77777777" w:rsidR="004B0C7D" w:rsidRPr="00D87E15" w:rsidRDefault="004B0C7D" w:rsidP="004B0C7D">
      <w:pPr>
        <w:pStyle w:val="BodyText"/>
        <w:spacing w:before="3"/>
        <w:ind w:left="0"/>
        <w:jc w:val="both"/>
        <w:rPr>
          <w:color w:val="000000" w:themeColor="text1"/>
          <w:lang w:val="id-ID"/>
        </w:rPr>
      </w:pPr>
    </w:p>
    <w:p w14:paraId="3EAEDBC3" w14:textId="77777777" w:rsidR="004B0C7D" w:rsidRDefault="004B0C7D" w:rsidP="004B0C7D">
      <w:pPr>
        <w:pStyle w:val="BodyText"/>
        <w:spacing w:before="3"/>
        <w:ind w:left="0"/>
        <w:jc w:val="both"/>
        <w:rPr>
          <w:color w:val="000000" w:themeColor="text1"/>
          <w:sz w:val="18"/>
          <w:lang w:val="id-ID"/>
        </w:rPr>
      </w:pPr>
    </w:p>
    <w:p w14:paraId="1B499359" w14:textId="2EA2A582" w:rsidR="00CD0D57" w:rsidRDefault="0051208F" w:rsidP="00EC714F">
      <w:pPr>
        <w:pStyle w:val="Heading1"/>
        <w:tabs>
          <w:tab w:val="left" w:pos="-9498"/>
        </w:tabs>
        <w:ind w:left="142" w:firstLine="0"/>
        <w:jc w:val="center"/>
        <w:rPr>
          <w:color w:val="000000" w:themeColor="text1"/>
          <w:lang w:val="id-ID"/>
        </w:rPr>
      </w:pPr>
      <w:r>
        <w:rPr>
          <w:color w:val="000000" w:themeColor="text1"/>
          <w:lang w:val="id-ID"/>
        </w:rPr>
        <w:t>6</w:t>
      </w:r>
      <w:r w:rsidR="00EC714F">
        <w:rPr>
          <w:color w:val="000000" w:themeColor="text1"/>
          <w:lang w:val="id-ID"/>
        </w:rPr>
        <w:t xml:space="preserve">. </w:t>
      </w:r>
      <w:r w:rsidR="00B42B76" w:rsidRPr="00B42B76">
        <w:rPr>
          <w:color w:val="000000" w:themeColor="text1"/>
        </w:rPr>
        <w:t>SUGGESTION</w:t>
      </w:r>
    </w:p>
    <w:p w14:paraId="0DAEEED4" w14:textId="77777777" w:rsidR="00EC714F" w:rsidRDefault="00EC714F" w:rsidP="00270195">
      <w:pPr>
        <w:pStyle w:val="Heading1"/>
        <w:tabs>
          <w:tab w:val="left" w:pos="1956"/>
        </w:tabs>
        <w:ind w:hanging="114"/>
        <w:rPr>
          <w:color w:val="000000" w:themeColor="text1"/>
          <w:lang w:val="id-ID"/>
        </w:rPr>
      </w:pPr>
    </w:p>
    <w:p w14:paraId="290381EF" w14:textId="77777777" w:rsidR="00B42B76" w:rsidRPr="00B42B76" w:rsidRDefault="00B42B76" w:rsidP="00B42B76">
      <w:pPr>
        <w:pStyle w:val="BodyText"/>
        <w:ind w:firstLine="453"/>
        <w:jc w:val="both"/>
        <w:rPr>
          <w:color w:val="000000" w:themeColor="text1"/>
          <w:lang w:val="id-ID"/>
        </w:rPr>
      </w:pPr>
      <w:r w:rsidRPr="00B42B76">
        <w:rPr>
          <w:color w:val="000000" w:themeColor="text1"/>
          <w:lang w:val="id-ID"/>
        </w:rPr>
        <w:t>The suggestions that can be submitted based on this research are as follows:</w:t>
      </w:r>
    </w:p>
    <w:p w14:paraId="1503DED3" w14:textId="77777777" w:rsidR="00B42B76" w:rsidRDefault="00B42B76" w:rsidP="00E512A2">
      <w:pPr>
        <w:pStyle w:val="BodyText"/>
        <w:numPr>
          <w:ilvl w:val="0"/>
          <w:numId w:val="15"/>
        </w:numPr>
        <w:ind w:left="426" w:hanging="284"/>
        <w:jc w:val="both"/>
        <w:rPr>
          <w:color w:val="000000" w:themeColor="text1"/>
          <w:lang w:val="id-ID"/>
        </w:rPr>
      </w:pPr>
      <w:r w:rsidRPr="00B42B76">
        <w:rPr>
          <w:color w:val="000000" w:themeColor="text1"/>
          <w:lang w:val="id-ID"/>
        </w:rPr>
        <w:t>This study only uses 3 ind</w:t>
      </w:r>
      <w:bookmarkStart w:id="0" w:name="_GoBack"/>
      <w:bookmarkEnd w:id="0"/>
      <w:r w:rsidRPr="00B42B76">
        <w:rPr>
          <w:color w:val="000000" w:themeColor="text1"/>
          <w:lang w:val="id-ID"/>
        </w:rPr>
        <w:t>ependent variables, namely company size, KAP size, and profitability, therefore further research should add variables to be studied so that research results will be better in predicting audit delays more accurately.</w:t>
      </w:r>
    </w:p>
    <w:p w14:paraId="43FD87B9" w14:textId="77777777" w:rsidR="00B42B76" w:rsidRDefault="00B42B76" w:rsidP="00E512A2">
      <w:pPr>
        <w:pStyle w:val="BodyText"/>
        <w:numPr>
          <w:ilvl w:val="0"/>
          <w:numId w:val="15"/>
        </w:numPr>
        <w:ind w:left="426" w:hanging="284"/>
        <w:jc w:val="both"/>
        <w:rPr>
          <w:color w:val="000000" w:themeColor="text1"/>
          <w:lang w:val="id-ID"/>
        </w:rPr>
      </w:pPr>
      <w:r w:rsidRPr="00B42B76">
        <w:rPr>
          <w:color w:val="000000" w:themeColor="text1"/>
          <w:lang w:val="id-ID"/>
        </w:rPr>
        <w:t>Future research is expected to use other types of companies as objects of research to see the effect of variables on other companies.</w:t>
      </w:r>
    </w:p>
    <w:p w14:paraId="2417BFFE" w14:textId="77777777" w:rsidR="00B42B76" w:rsidRDefault="00B42B76" w:rsidP="00E512A2">
      <w:pPr>
        <w:pStyle w:val="BodyText"/>
        <w:numPr>
          <w:ilvl w:val="0"/>
          <w:numId w:val="15"/>
        </w:numPr>
        <w:ind w:left="426" w:hanging="284"/>
        <w:jc w:val="both"/>
        <w:rPr>
          <w:color w:val="000000" w:themeColor="text1"/>
          <w:lang w:val="id-ID"/>
        </w:rPr>
      </w:pPr>
      <w:r w:rsidRPr="00B42B76">
        <w:rPr>
          <w:color w:val="000000" w:themeColor="text1"/>
          <w:lang w:val="id-ID"/>
        </w:rPr>
        <w:t>For further research, it is expected to be able to add or vary the independent variables considering the value of the coefficient of determination in this study is only 10.4%.</w:t>
      </w:r>
    </w:p>
    <w:p w14:paraId="6D1729CE" w14:textId="1CF2A7B0" w:rsidR="00B42B76" w:rsidRPr="00B42B76" w:rsidRDefault="00B42B76" w:rsidP="00E512A2">
      <w:pPr>
        <w:pStyle w:val="BodyText"/>
        <w:numPr>
          <w:ilvl w:val="0"/>
          <w:numId w:val="15"/>
        </w:numPr>
        <w:ind w:left="426" w:hanging="284"/>
        <w:jc w:val="both"/>
        <w:rPr>
          <w:color w:val="000000" w:themeColor="text1"/>
          <w:lang w:val="id-ID"/>
        </w:rPr>
      </w:pPr>
      <w:r w:rsidRPr="00B42B76">
        <w:rPr>
          <w:color w:val="000000" w:themeColor="text1"/>
          <w:lang w:val="id-ID"/>
        </w:rPr>
        <w:t>For public companies, it is advisable to give the auditor flexibility to do field work before the closing date of the book. The company is also expected to help the auditor's work smooth by providing data that must be prepared in a timely manner, providing correct and reasonable answers to the auditor's questions so that the audited report can be issued faster.</w:t>
      </w:r>
    </w:p>
    <w:p w14:paraId="2304EB1C" w14:textId="77777777" w:rsidR="003F26A4" w:rsidRDefault="003F26A4" w:rsidP="003F26A4">
      <w:pPr>
        <w:pStyle w:val="BodyText"/>
        <w:spacing w:before="1"/>
        <w:jc w:val="both"/>
        <w:rPr>
          <w:color w:val="000000" w:themeColor="text1"/>
          <w:lang w:val="id-ID"/>
        </w:rPr>
      </w:pPr>
    </w:p>
    <w:p w14:paraId="0EBC6099" w14:textId="77777777" w:rsidR="003F26A4" w:rsidRPr="003F26A4" w:rsidRDefault="003F26A4" w:rsidP="003F26A4">
      <w:pPr>
        <w:pStyle w:val="BodyText"/>
        <w:spacing w:before="1"/>
        <w:jc w:val="both"/>
        <w:rPr>
          <w:color w:val="000000" w:themeColor="text1"/>
        </w:rPr>
      </w:pPr>
    </w:p>
    <w:p w14:paraId="1E047C9B" w14:textId="77777777" w:rsidR="00CD0D57" w:rsidRPr="00947C46" w:rsidRDefault="009247FF">
      <w:pPr>
        <w:pStyle w:val="Heading1"/>
        <w:spacing w:before="1"/>
        <w:ind w:left="1842" w:firstLine="0"/>
        <w:rPr>
          <w:color w:val="000000" w:themeColor="text1"/>
        </w:rPr>
      </w:pPr>
      <w:r w:rsidRPr="00947C46">
        <w:rPr>
          <w:color w:val="000000" w:themeColor="text1"/>
        </w:rPr>
        <w:t>REFERENCES</w:t>
      </w:r>
    </w:p>
    <w:p w14:paraId="376FF0F5" w14:textId="5C7BA9C3" w:rsidR="00BB4270" w:rsidRDefault="00BB4270">
      <w:pPr>
        <w:spacing w:before="2" w:line="254" w:lineRule="auto"/>
        <w:ind w:left="454" w:right="111" w:hanging="340"/>
        <w:jc w:val="both"/>
        <w:rPr>
          <w:color w:val="000000" w:themeColor="text1"/>
          <w:sz w:val="18"/>
        </w:rPr>
      </w:pPr>
    </w:p>
    <w:p w14:paraId="3585808D" w14:textId="4746ACF5" w:rsidR="00154B3D" w:rsidRPr="00154B3D" w:rsidRDefault="00154B3D" w:rsidP="00154B3D">
      <w:pPr>
        <w:adjustRightInd w:val="0"/>
        <w:ind w:left="480" w:hanging="480"/>
        <w:jc w:val="both"/>
        <w:rPr>
          <w:noProof/>
          <w:sz w:val="20"/>
          <w:szCs w:val="20"/>
        </w:rPr>
      </w:pPr>
      <w:r w:rsidRPr="00154B3D">
        <w:rPr>
          <w:color w:val="000000" w:themeColor="text1"/>
          <w:sz w:val="20"/>
          <w:szCs w:val="20"/>
        </w:rPr>
        <w:fldChar w:fldCharType="begin" w:fldLock="1"/>
      </w:r>
      <w:r w:rsidRPr="00154B3D">
        <w:rPr>
          <w:color w:val="000000" w:themeColor="text1"/>
          <w:sz w:val="20"/>
          <w:szCs w:val="20"/>
        </w:rPr>
        <w:instrText xml:space="preserve">ADDIN Mendeley Bibliography CSL_BIBLIOGRAPHY </w:instrText>
      </w:r>
      <w:r w:rsidRPr="00154B3D">
        <w:rPr>
          <w:color w:val="000000" w:themeColor="text1"/>
          <w:sz w:val="20"/>
          <w:szCs w:val="20"/>
        </w:rPr>
        <w:fldChar w:fldCharType="separate"/>
      </w:r>
      <w:r w:rsidRPr="00154B3D">
        <w:rPr>
          <w:noProof/>
          <w:sz w:val="20"/>
          <w:szCs w:val="20"/>
        </w:rPr>
        <w:t xml:space="preserve">Agoes, S. (2012). </w:t>
      </w:r>
      <w:r w:rsidRPr="00154B3D">
        <w:rPr>
          <w:i/>
          <w:iCs/>
          <w:noProof/>
          <w:sz w:val="20"/>
          <w:szCs w:val="20"/>
        </w:rPr>
        <w:t>Auditing: Petunjuk praktis pemeriksaan akuntan oleh akuntan publik</w:t>
      </w:r>
      <w:r w:rsidRPr="00154B3D">
        <w:rPr>
          <w:noProof/>
          <w:sz w:val="20"/>
          <w:szCs w:val="20"/>
        </w:rPr>
        <w:t>. Jakarta: Salemba Empat.</w:t>
      </w:r>
    </w:p>
    <w:p w14:paraId="5DA176DD"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Amani, F. A., &amp; Waluyo, I. (2016). Pengaruh Ukuran Perusahaan, Profitabilitas, Opini Audit, Dan Umur Perusahaan Terhadap Audit Delay (Studi Empiris pada Perusahaan Property dan Real Estate yang Terdaftar di Bursa Efek Indonesia pada Tahun 2012-2014). </w:t>
      </w:r>
      <w:r w:rsidRPr="00154B3D">
        <w:rPr>
          <w:i/>
          <w:iCs/>
          <w:noProof/>
          <w:sz w:val="20"/>
          <w:szCs w:val="20"/>
        </w:rPr>
        <w:t>Nominal: Barometer Riset Akuntansi Dan Manajemen</w:t>
      </w:r>
      <w:r w:rsidRPr="00154B3D">
        <w:rPr>
          <w:noProof/>
          <w:sz w:val="20"/>
          <w:szCs w:val="20"/>
        </w:rPr>
        <w:t xml:space="preserve">, </w:t>
      </w:r>
      <w:r w:rsidRPr="00154B3D">
        <w:rPr>
          <w:i/>
          <w:iCs/>
          <w:noProof/>
          <w:sz w:val="20"/>
          <w:szCs w:val="20"/>
        </w:rPr>
        <w:t>5</w:t>
      </w:r>
      <w:r w:rsidRPr="00154B3D">
        <w:rPr>
          <w:noProof/>
          <w:sz w:val="20"/>
          <w:szCs w:val="20"/>
        </w:rPr>
        <w:t>(1), 135–150.</w:t>
      </w:r>
    </w:p>
    <w:p w14:paraId="1659EDBB"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Apriyana, N., &amp; Rahmawati, D. (2017). Pengaruh Profitabilitas, Solvabilitas, Ukuran Perusahaan, dan Ukuran Kap Terhadap Audit Delay Pada Perusahaan Properti dan Real Estate yang Terdaftar di Bursa Efek Indonesia Periode 2013-2015. </w:t>
      </w:r>
      <w:r w:rsidRPr="00154B3D">
        <w:rPr>
          <w:i/>
          <w:iCs/>
          <w:noProof/>
          <w:sz w:val="20"/>
          <w:szCs w:val="20"/>
        </w:rPr>
        <w:t>Nominal: Barometer Riset Akuntansi Dan Manajemen</w:t>
      </w:r>
      <w:r w:rsidRPr="00154B3D">
        <w:rPr>
          <w:noProof/>
          <w:sz w:val="20"/>
          <w:szCs w:val="20"/>
        </w:rPr>
        <w:t xml:space="preserve">, </w:t>
      </w:r>
      <w:r w:rsidRPr="00154B3D">
        <w:rPr>
          <w:i/>
          <w:iCs/>
          <w:noProof/>
          <w:sz w:val="20"/>
          <w:szCs w:val="20"/>
        </w:rPr>
        <w:t>6</w:t>
      </w:r>
      <w:r w:rsidRPr="00154B3D">
        <w:rPr>
          <w:noProof/>
          <w:sz w:val="20"/>
          <w:szCs w:val="20"/>
        </w:rPr>
        <w:t>(2), 108–124.</w:t>
      </w:r>
    </w:p>
    <w:p w14:paraId="1301D290"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Ariyanto, A. (2018). </w:t>
      </w:r>
      <w:r w:rsidRPr="00154B3D">
        <w:rPr>
          <w:i/>
          <w:iCs/>
          <w:noProof/>
          <w:sz w:val="20"/>
          <w:szCs w:val="20"/>
        </w:rPr>
        <w:t>Pengaruh Total Asset, Profitabilitas, Solvabilitas, Ukuran KAP terhadap Audit Delay (Studi Empiris pada Perusahaan Jasa Sektor Property &amp; Real Estate yang Terdaftar di Bursa Efek Indonesia Tahun 2015–2016)</w:t>
      </w:r>
      <w:r w:rsidRPr="00154B3D">
        <w:rPr>
          <w:noProof/>
          <w:sz w:val="20"/>
          <w:szCs w:val="20"/>
        </w:rPr>
        <w:t>.</w:t>
      </w:r>
    </w:p>
    <w:p w14:paraId="47F7978F"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Armansyah, F., &amp; Kurnia, K. (2015). Pengaruh Ukuran Perusahaan, Profitabilitas, dan Opini Auditor terhadap Audit Delay. </w:t>
      </w:r>
      <w:r w:rsidRPr="00154B3D">
        <w:rPr>
          <w:i/>
          <w:iCs/>
          <w:noProof/>
          <w:sz w:val="20"/>
          <w:szCs w:val="20"/>
        </w:rPr>
        <w:t>Jurnal Ilmu Dan Riset Akuntansi (JIRA)</w:t>
      </w:r>
      <w:r w:rsidRPr="00154B3D">
        <w:rPr>
          <w:noProof/>
          <w:sz w:val="20"/>
          <w:szCs w:val="20"/>
        </w:rPr>
        <w:t xml:space="preserve">, </w:t>
      </w:r>
      <w:r w:rsidRPr="00154B3D">
        <w:rPr>
          <w:i/>
          <w:iCs/>
          <w:noProof/>
          <w:sz w:val="20"/>
          <w:szCs w:val="20"/>
        </w:rPr>
        <w:t>4</w:t>
      </w:r>
      <w:r w:rsidRPr="00154B3D">
        <w:rPr>
          <w:noProof/>
          <w:sz w:val="20"/>
          <w:szCs w:val="20"/>
        </w:rPr>
        <w:t>(10).</w:t>
      </w:r>
    </w:p>
    <w:p w14:paraId="007E1A1A"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Elvienne, R., &amp; Apriwenni, P. (2019). PENGARUH PROFITABILITAS, SOLVABILITAS, DAN UKURAN PERUSAHAAN TERHADAP AUDIT DELAY DENGAN REPUTASI KAP SEBAGAI PEMODERASI. </w:t>
      </w:r>
      <w:r w:rsidRPr="00154B3D">
        <w:rPr>
          <w:i/>
          <w:iCs/>
          <w:noProof/>
          <w:sz w:val="20"/>
          <w:szCs w:val="20"/>
        </w:rPr>
        <w:t>Jurnal Akuntansi</w:t>
      </w:r>
      <w:r w:rsidRPr="00154B3D">
        <w:rPr>
          <w:noProof/>
          <w:sz w:val="20"/>
          <w:szCs w:val="20"/>
        </w:rPr>
        <w:t xml:space="preserve">, </w:t>
      </w:r>
      <w:r w:rsidRPr="00154B3D">
        <w:rPr>
          <w:i/>
          <w:iCs/>
          <w:noProof/>
          <w:sz w:val="20"/>
          <w:szCs w:val="20"/>
        </w:rPr>
        <w:t>8</w:t>
      </w:r>
      <w:r w:rsidRPr="00154B3D">
        <w:rPr>
          <w:noProof/>
          <w:sz w:val="20"/>
          <w:szCs w:val="20"/>
        </w:rPr>
        <w:t>(2).</w:t>
      </w:r>
    </w:p>
    <w:p w14:paraId="00BC0010"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Halim, V. (2000). Faktor-Faktor Yang Mempengaruhi Audit Delay. </w:t>
      </w:r>
      <w:r w:rsidRPr="00154B3D">
        <w:rPr>
          <w:i/>
          <w:iCs/>
          <w:noProof/>
          <w:sz w:val="20"/>
          <w:szCs w:val="20"/>
        </w:rPr>
        <w:t>Jurnal Bisnis Dan Akuntansi</w:t>
      </w:r>
      <w:r w:rsidRPr="00154B3D">
        <w:rPr>
          <w:noProof/>
          <w:sz w:val="20"/>
          <w:szCs w:val="20"/>
        </w:rPr>
        <w:t xml:space="preserve">, </w:t>
      </w:r>
      <w:r w:rsidRPr="00154B3D">
        <w:rPr>
          <w:i/>
          <w:iCs/>
          <w:noProof/>
          <w:sz w:val="20"/>
          <w:szCs w:val="20"/>
        </w:rPr>
        <w:t>2</w:t>
      </w:r>
      <w:r w:rsidRPr="00154B3D">
        <w:rPr>
          <w:noProof/>
          <w:sz w:val="20"/>
          <w:szCs w:val="20"/>
        </w:rPr>
        <w:t>(1), 63–75.</w:t>
      </w:r>
    </w:p>
    <w:p w14:paraId="475B0429"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Ikatan Akuntan Indonesia. (2009). </w:t>
      </w:r>
      <w:r w:rsidRPr="00154B3D">
        <w:rPr>
          <w:i/>
          <w:iCs/>
          <w:noProof/>
          <w:sz w:val="20"/>
          <w:szCs w:val="20"/>
        </w:rPr>
        <w:t>Standar Akuntansi Keuangan</w:t>
      </w:r>
      <w:r w:rsidRPr="00154B3D">
        <w:rPr>
          <w:noProof/>
          <w:sz w:val="20"/>
          <w:szCs w:val="20"/>
        </w:rPr>
        <w:t>. Salemba Empat.</w:t>
      </w:r>
    </w:p>
    <w:p w14:paraId="09BB6D87"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Jensen, M., &amp; Meckling, W. (1976). Theory of the firm: Managerial behavior, agency costs, and ownership </w:t>
      </w:r>
      <w:r w:rsidRPr="00154B3D">
        <w:rPr>
          <w:noProof/>
          <w:sz w:val="20"/>
          <w:szCs w:val="20"/>
        </w:rPr>
        <w:lastRenderedPageBreak/>
        <w:t xml:space="preserve">structure. </w:t>
      </w:r>
      <w:r w:rsidRPr="00154B3D">
        <w:rPr>
          <w:i/>
          <w:iCs/>
          <w:noProof/>
          <w:sz w:val="20"/>
          <w:szCs w:val="20"/>
        </w:rPr>
        <w:t>The Economic Nature of the Firm: A Reader, Third Edition</w:t>
      </w:r>
      <w:r w:rsidRPr="00154B3D">
        <w:rPr>
          <w:noProof/>
          <w:sz w:val="20"/>
          <w:szCs w:val="20"/>
        </w:rPr>
        <w:t>, 283–303. https://doi.org/10.1017/CBO9780511817410.023</w:t>
      </w:r>
    </w:p>
    <w:p w14:paraId="766589FD"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Kasmir. (2016). </w:t>
      </w:r>
      <w:r w:rsidRPr="00154B3D">
        <w:rPr>
          <w:i/>
          <w:iCs/>
          <w:noProof/>
          <w:sz w:val="20"/>
          <w:szCs w:val="20"/>
        </w:rPr>
        <w:t>Analisis Laporan Keuangan</w:t>
      </w:r>
      <w:r w:rsidRPr="00154B3D">
        <w:rPr>
          <w:noProof/>
          <w:sz w:val="20"/>
          <w:szCs w:val="20"/>
        </w:rPr>
        <w:t>. RajaGrafindo Persada.</w:t>
      </w:r>
    </w:p>
    <w:p w14:paraId="306BA6B9"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Kurniawan, A. I., &amp; Laksito, H. (2015). </w:t>
      </w:r>
      <w:r w:rsidRPr="00154B3D">
        <w:rPr>
          <w:i/>
          <w:iCs/>
          <w:noProof/>
          <w:sz w:val="20"/>
          <w:szCs w:val="20"/>
        </w:rPr>
        <w:t>Analisis faktor-faktor yang mempengaruhi audit delay (Studi empiris pada perusahaan LQ 45 yang terdaftar di Bursa Efek Indonesia periode tahun 2010-2013)</w:t>
      </w:r>
      <w:r w:rsidRPr="00154B3D">
        <w:rPr>
          <w:noProof/>
          <w:sz w:val="20"/>
          <w:szCs w:val="20"/>
        </w:rPr>
        <w:t>. Fakultas Ekonomika dan Bisnis.</w:t>
      </w:r>
    </w:p>
    <w:p w14:paraId="2CE7CBC5"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Liviani, S. (2016). Uji model keseimbangan teori keagenan: pengaruh kebijakan utang dan kebijakan dividen terhadap kepemilikan manajerial. </w:t>
      </w:r>
      <w:r w:rsidRPr="00154B3D">
        <w:rPr>
          <w:i/>
          <w:iCs/>
          <w:noProof/>
          <w:sz w:val="20"/>
          <w:szCs w:val="20"/>
        </w:rPr>
        <w:t>CALYPTRA</w:t>
      </w:r>
      <w:r w:rsidRPr="00154B3D">
        <w:rPr>
          <w:noProof/>
          <w:sz w:val="20"/>
          <w:szCs w:val="20"/>
        </w:rPr>
        <w:t xml:space="preserve">, </w:t>
      </w:r>
      <w:r w:rsidRPr="00154B3D">
        <w:rPr>
          <w:i/>
          <w:iCs/>
          <w:noProof/>
          <w:sz w:val="20"/>
          <w:szCs w:val="20"/>
        </w:rPr>
        <w:t>4</w:t>
      </w:r>
      <w:r w:rsidRPr="00154B3D">
        <w:rPr>
          <w:noProof/>
          <w:sz w:val="20"/>
          <w:szCs w:val="20"/>
        </w:rPr>
        <w:t>(2), 1–18.</w:t>
      </w:r>
    </w:p>
    <w:p w14:paraId="5380FFC2"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Pranata, H. C., &amp; Kurnia, R. (2013). Pengaruh Profitabilitas, Likuiditas, Solvabilitas, Dan Kebijakan Dividen Terhadap Harga Saham. </w:t>
      </w:r>
      <w:r w:rsidRPr="00154B3D">
        <w:rPr>
          <w:i/>
          <w:iCs/>
          <w:noProof/>
          <w:sz w:val="20"/>
          <w:szCs w:val="20"/>
        </w:rPr>
        <w:t>Ultimaccounting: Jurnal Ilmu Akuntansi</w:t>
      </w:r>
      <w:r w:rsidRPr="00154B3D">
        <w:rPr>
          <w:noProof/>
          <w:sz w:val="20"/>
          <w:szCs w:val="20"/>
        </w:rPr>
        <w:t xml:space="preserve">, </w:t>
      </w:r>
      <w:r w:rsidRPr="00154B3D">
        <w:rPr>
          <w:i/>
          <w:iCs/>
          <w:noProof/>
          <w:sz w:val="20"/>
          <w:szCs w:val="20"/>
        </w:rPr>
        <w:t>5</w:t>
      </w:r>
      <w:r w:rsidRPr="00154B3D">
        <w:rPr>
          <w:noProof/>
          <w:sz w:val="20"/>
          <w:szCs w:val="20"/>
        </w:rPr>
        <w:t>(2), 81–98.</w:t>
      </w:r>
    </w:p>
    <w:p w14:paraId="16E0A25A"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Saemargani, F. I., &amp; Mustikawati, R. I. (2015). Pengaruh ukuran perusahaan, umur perusahaan, profitabilitas, solvabilitas, ukuran kap, dan opini auditor terhadap audit delay. </w:t>
      </w:r>
      <w:r w:rsidRPr="00154B3D">
        <w:rPr>
          <w:i/>
          <w:iCs/>
          <w:noProof/>
          <w:sz w:val="20"/>
          <w:szCs w:val="20"/>
        </w:rPr>
        <w:t>Nominal: Barometer Riset Akuntansi Dan Manajemen</w:t>
      </w:r>
      <w:r w:rsidRPr="00154B3D">
        <w:rPr>
          <w:noProof/>
          <w:sz w:val="20"/>
          <w:szCs w:val="20"/>
        </w:rPr>
        <w:t xml:space="preserve">, </w:t>
      </w:r>
      <w:r w:rsidRPr="00154B3D">
        <w:rPr>
          <w:i/>
          <w:iCs/>
          <w:noProof/>
          <w:sz w:val="20"/>
          <w:szCs w:val="20"/>
        </w:rPr>
        <w:t>4</w:t>
      </w:r>
      <w:r w:rsidRPr="00154B3D">
        <w:rPr>
          <w:noProof/>
          <w:sz w:val="20"/>
          <w:szCs w:val="20"/>
        </w:rPr>
        <w:t>(2), 1–15.</w:t>
      </w:r>
    </w:p>
    <w:p w14:paraId="42C10740"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Sugiyono. (2016). </w:t>
      </w:r>
      <w:r w:rsidRPr="00154B3D">
        <w:rPr>
          <w:i/>
          <w:iCs/>
          <w:noProof/>
          <w:sz w:val="20"/>
          <w:szCs w:val="20"/>
        </w:rPr>
        <w:t>Metode Penelitian Bisnis</w:t>
      </w:r>
      <w:r w:rsidRPr="00154B3D">
        <w:rPr>
          <w:noProof/>
          <w:sz w:val="20"/>
          <w:szCs w:val="20"/>
        </w:rPr>
        <w:t>. Alfabeta.</w:t>
      </w:r>
    </w:p>
    <w:p w14:paraId="023FF0B4" w14:textId="77777777" w:rsidR="00154B3D" w:rsidRPr="00154B3D" w:rsidRDefault="00154B3D" w:rsidP="00154B3D">
      <w:pPr>
        <w:adjustRightInd w:val="0"/>
        <w:ind w:left="480" w:hanging="480"/>
        <w:jc w:val="both"/>
        <w:rPr>
          <w:noProof/>
          <w:sz w:val="20"/>
          <w:szCs w:val="20"/>
        </w:rPr>
      </w:pPr>
      <w:r w:rsidRPr="00154B3D">
        <w:rPr>
          <w:noProof/>
          <w:sz w:val="20"/>
          <w:szCs w:val="20"/>
        </w:rPr>
        <w:t xml:space="preserve">Yusuf, Y., &amp; Suherman, A. (2021). Pengaruh Likuiditas Dan Profitabilitas Terhadap Kebijakan Dividen Dengan Variabel Ukuran Perusahaan Sebagai Variabel Mediasi. </w:t>
      </w:r>
      <w:r w:rsidRPr="00154B3D">
        <w:rPr>
          <w:i/>
          <w:iCs/>
          <w:noProof/>
          <w:sz w:val="20"/>
          <w:szCs w:val="20"/>
        </w:rPr>
        <w:t>Jurnal Akuntansi Dan Bisnis Indonesia (JABISI)</w:t>
      </w:r>
      <w:r w:rsidRPr="00154B3D">
        <w:rPr>
          <w:noProof/>
          <w:sz w:val="20"/>
          <w:szCs w:val="20"/>
        </w:rPr>
        <w:t xml:space="preserve">, </w:t>
      </w:r>
      <w:r w:rsidRPr="00154B3D">
        <w:rPr>
          <w:i/>
          <w:iCs/>
          <w:noProof/>
          <w:sz w:val="20"/>
          <w:szCs w:val="20"/>
        </w:rPr>
        <w:t>2</w:t>
      </w:r>
      <w:r w:rsidRPr="00154B3D">
        <w:rPr>
          <w:noProof/>
          <w:sz w:val="20"/>
          <w:szCs w:val="20"/>
        </w:rPr>
        <w:t>(1), 39–49.</w:t>
      </w:r>
    </w:p>
    <w:p w14:paraId="0F2C97FA" w14:textId="546BD13B" w:rsidR="00BB4270" w:rsidRPr="00154B3D" w:rsidRDefault="00154B3D" w:rsidP="00154B3D">
      <w:pPr>
        <w:spacing w:before="2" w:line="254" w:lineRule="auto"/>
        <w:ind w:left="454" w:right="111" w:hanging="340"/>
        <w:jc w:val="both"/>
        <w:rPr>
          <w:color w:val="000000" w:themeColor="text1"/>
          <w:sz w:val="20"/>
          <w:szCs w:val="20"/>
        </w:rPr>
      </w:pPr>
      <w:r w:rsidRPr="00154B3D">
        <w:rPr>
          <w:color w:val="000000" w:themeColor="text1"/>
          <w:sz w:val="20"/>
          <w:szCs w:val="20"/>
        </w:rPr>
        <w:fldChar w:fldCharType="end"/>
      </w:r>
    </w:p>
    <w:p w14:paraId="6D78415D" w14:textId="39708964" w:rsidR="00BB4270" w:rsidRPr="00154B3D" w:rsidRDefault="00BB4270" w:rsidP="00154B3D">
      <w:pPr>
        <w:spacing w:before="2" w:line="254" w:lineRule="auto"/>
        <w:ind w:left="454" w:right="111" w:hanging="340"/>
        <w:jc w:val="both"/>
        <w:rPr>
          <w:color w:val="000000" w:themeColor="text1"/>
          <w:sz w:val="20"/>
          <w:szCs w:val="20"/>
        </w:rPr>
      </w:pPr>
    </w:p>
    <w:p w14:paraId="2D539DDE" w14:textId="7BDC0DA2" w:rsidR="00BB4270" w:rsidRDefault="00BB4270">
      <w:pPr>
        <w:spacing w:before="2" w:line="254" w:lineRule="auto"/>
        <w:ind w:left="454" w:right="111" w:hanging="340"/>
        <w:jc w:val="both"/>
        <w:rPr>
          <w:color w:val="000000" w:themeColor="text1"/>
          <w:sz w:val="18"/>
        </w:rPr>
      </w:pPr>
    </w:p>
    <w:p w14:paraId="440404B3" w14:textId="693522D0" w:rsidR="00BB4270" w:rsidRDefault="00BB4270">
      <w:pPr>
        <w:spacing w:before="2" w:line="254" w:lineRule="auto"/>
        <w:ind w:left="454" w:right="111" w:hanging="340"/>
        <w:jc w:val="both"/>
        <w:rPr>
          <w:color w:val="000000" w:themeColor="text1"/>
          <w:sz w:val="18"/>
        </w:rPr>
      </w:pPr>
    </w:p>
    <w:p w14:paraId="368572F5" w14:textId="38980256" w:rsidR="00BB4270" w:rsidRDefault="00BB4270">
      <w:pPr>
        <w:spacing w:before="2" w:line="254" w:lineRule="auto"/>
        <w:ind w:left="454" w:right="111" w:hanging="340"/>
        <w:jc w:val="both"/>
        <w:rPr>
          <w:color w:val="000000" w:themeColor="text1"/>
          <w:sz w:val="18"/>
        </w:rPr>
      </w:pPr>
    </w:p>
    <w:p w14:paraId="3A9E7535" w14:textId="6C035588" w:rsidR="00BB4270" w:rsidRDefault="00BB4270">
      <w:pPr>
        <w:spacing w:before="2" w:line="254" w:lineRule="auto"/>
        <w:ind w:left="454" w:right="111" w:hanging="340"/>
        <w:jc w:val="both"/>
        <w:rPr>
          <w:color w:val="000000" w:themeColor="text1"/>
          <w:sz w:val="18"/>
        </w:rPr>
      </w:pPr>
    </w:p>
    <w:p w14:paraId="56F53618" w14:textId="182921F2" w:rsidR="00BB4270" w:rsidRDefault="00BB4270">
      <w:pPr>
        <w:spacing w:before="2" w:line="254" w:lineRule="auto"/>
        <w:ind w:left="454" w:right="111" w:hanging="340"/>
        <w:jc w:val="both"/>
        <w:rPr>
          <w:color w:val="000000" w:themeColor="text1"/>
          <w:sz w:val="18"/>
        </w:rPr>
      </w:pPr>
    </w:p>
    <w:p w14:paraId="7D07F19D" w14:textId="34CD16C9" w:rsidR="00BB4270" w:rsidRDefault="00BB4270">
      <w:pPr>
        <w:spacing w:before="2" w:line="254" w:lineRule="auto"/>
        <w:ind w:left="454" w:right="111" w:hanging="340"/>
        <w:jc w:val="both"/>
        <w:rPr>
          <w:color w:val="000000" w:themeColor="text1"/>
          <w:sz w:val="18"/>
        </w:rPr>
      </w:pPr>
    </w:p>
    <w:p w14:paraId="3AEFF583" w14:textId="22AA69EC" w:rsidR="00BB4270" w:rsidRDefault="00BB4270">
      <w:pPr>
        <w:spacing w:before="2" w:line="254" w:lineRule="auto"/>
        <w:ind w:left="454" w:right="111" w:hanging="340"/>
        <w:jc w:val="both"/>
        <w:rPr>
          <w:color w:val="000000" w:themeColor="text1"/>
          <w:sz w:val="18"/>
        </w:rPr>
      </w:pPr>
    </w:p>
    <w:p w14:paraId="02E52799" w14:textId="77777777" w:rsidR="00BB4270" w:rsidRPr="00947C46" w:rsidRDefault="00BB4270" w:rsidP="00F04652">
      <w:pPr>
        <w:spacing w:before="2" w:line="254" w:lineRule="auto"/>
        <w:ind w:right="111"/>
        <w:jc w:val="both"/>
        <w:rPr>
          <w:color w:val="000000" w:themeColor="text1"/>
          <w:sz w:val="18"/>
        </w:rPr>
      </w:pPr>
    </w:p>
    <w:sectPr w:rsidR="00BB4270" w:rsidRPr="00947C46" w:rsidSect="00B80966">
      <w:footerReference w:type="even" r:id="rId12"/>
      <w:footerReference w:type="default" r:id="rId13"/>
      <w:type w:val="continuous"/>
      <w:pgSz w:w="12240" w:h="15840"/>
      <w:pgMar w:top="800" w:right="680" w:bottom="560" w:left="680" w:header="328" w:footer="361" w:gutter="0"/>
      <w:cols w:num="2" w:space="720" w:equalWidth="0">
        <w:col w:w="5310" w:space="195"/>
        <w:col w:w="5375"/>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9EA2" w14:textId="77777777" w:rsidR="005835D9" w:rsidRDefault="005835D9">
      <w:r>
        <w:separator/>
      </w:r>
    </w:p>
  </w:endnote>
  <w:endnote w:type="continuationSeparator" w:id="0">
    <w:p w14:paraId="5DCA4523" w14:textId="77777777" w:rsidR="005835D9" w:rsidRDefault="0058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554"/>
      <w:gridCol w:w="556"/>
    </w:tblGrid>
    <w:tr w:rsidR="00AF331A" w14:paraId="4165AEB4" w14:textId="77777777">
      <w:trPr>
        <w:jc w:val="right"/>
      </w:trPr>
      <w:tc>
        <w:tcPr>
          <w:tcW w:w="4795" w:type="dxa"/>
          <w:vAlign w:val="center"/>
        </w:tcPr>
        <w:sdt>
          <w:sdtPr>
            <w:rPr>
              <w:caps/>
              <w:color w:val="000000" w:themeColor="text1"/>
            </w:rPr>
            <w:alias w:val="Author"/>
            <w:tag w:val=""/>
            <w:id w:val="-1917770254"/>
            <w:placeholder>
              <w:docPart w:val="B90D2906385B614CA6ED683ACE44EE9B"/>
            </w:placeholder>
            <w:dataBinding w:prefixMappings="xmlns:ns0='http://purl.org/dc/elements/1.1/' xmlns:ns1='http://schemas.openxmlformats.org/package/2006/metadata/core-properties' " w:xpath="/ns1:coreProperties[1]/ns0:creator[1]" w:storeItemID="{6C3C8BC8-F283-45AE-878A-BAB7291924A1}"/>
            <w:text/>
          </w:sdtPr>
          <w:sdtEndPr/>
          <w:sdtContent>
            <w:p w14:paraId="7D176CC0" w14:textId="44DF3B5D" w:rsidR="00AF331A" w:rsidRDefault="00AF331A">
              <w:pPr>
                <w:pStyle w:val="Header"/>
                <w:jc w:val="right"/>
                <w:rPr>
                  <w:caps/>
                  <w:color w:val="000000" w:themeColor="text1"/>
                </w:rPr>
              </w:pPr>
              <w:r>
                <w:rPr>
                  <w:caps/>
                  <w:color w:val="000000" w:themeColor="text1"/>
                </w:rPr>
                <w:t>Journal of Economics and Business Letters, 2021, 1(1), 1-12</w:t>
              </w:r>
            </w:p>
          </w:sdtContent>
        </w:sdt>
      </w:tc>
      <w:tc>
        <w:tcPr>
          <w:tcW w:w="250" w:type="pct"/>
          <w:shd w:val="clear" w:color="auto" w:fill="C0504D" w:themeFill="accent2"/>
          <w:vAlign w:val="center"/>
        </w:tcPr>
        <w:p w14:paraId="06B3F90A" w14:textId="77777777" w:rsidR="00AF331A" w:rsidRDefault="00AF331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2E16180" w14:textId="247C9604" w:rsidR="00AF331A" w:rsidRDefault="00AF331A">
    <w:pPr>
      <w:pStyle w:val="BodyText"/>
      <w:spacing w:line="14" w:lineRule="auto"/>
      <w:ind w:left="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554"/>
      <w:gridCol w:w="556"/>
    </w:tblGrid>
    <w:tr w:rsidR="00AF331A" w14:paraId="16BDC22B" w14:textId="77777777">
      <w:trPr>
        <w:jc w:val="right"/>
      </w:trPr>
      <w:tc>
        <w:tcPr>
          <w:tcW w:w="4795" w:type="dxa"/>
          <w:vAlign w:val="center"/>
        </w:tcPr>
        <w:p w14:paraId="6632EB73" w14:textId="680A13A1" w:rsidR="00AF331A" w:rsidRDefault="00AF331A">
          <w:pPr>
            <w:pStyle w:val="Header"/>
            <w:jc w:val="right"/>
            <w:rPr>
              <w:caps/>
              <w:color w:val="000000" w:themeColor="text1"/>
            </w:rPr>
          </w:pPr>
          <w:r w:rsidRPr="00F04652">
            <w:rPr>
              <w:b/>
              <w:color w:val="000000" w:themeColor="text1"/>
              <w:spacing w:val="-1"/>
              <w:sz w:val="18"/>
            </w:rPr>
            <w:t>Journal of Economics and Business Letters</w:t>
          </w:r>
          <w:r w:rsidRPr="00C326F5">
            <w:rPr>
              <w:b/>
              <w:color w:val="231F20"/>
              <w:spacing w:val="-1"/>
              <w:sz w:val="18"/>
            </w:rPr>
            <w:t>, 2021, 1(1), 1-12</w:t>
          </w:r>
        </w:p>
      </w:tc>
      <w:tc>
        <w:tcPr>
          <w:tcW w:w="250" w:type="pct"/>
          <w:shd w:val="clear" w:color="auto" w:fill="C0504D" w:themeFill="accent2"/>
          <w:vAlign w:val="center"/>
        </w:tcPr>
        <w:p w14:paraId="4A7F7524" w14:textId="3039439C" w:rsidR="00AF331A" w:rsidRDefault="00AF331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5586F">
            <w:rPr>
              <w:noProof/>
              <w:color w:val="FFFFFF" w:themeColor="background1"/>
            </w:rPr>
            <w:t>1</w:t>
          </w:r>
          <w:r>
            <w:rPr>
              <w:noProof/>
              <w:color w:val="FFFFFF" w:themeColor="background1"/>
            </w:rPr>
            <w:fldChar w:fldCharType="end"/>
          </w:r>
        </w:p>
      </w:tc>
    </w:tr>
  </w:tbl>
  <w:p w14:paraId="4AF54981" w14:textId="45BFB296" w:rsidR="00AF331A" w:rsidRDefault="00AF331A">
    <w:pPr>
      <w:pStyle w:val="BodyText"/>
      <w:spacing w:line="14" w:lineRule="auto"/>
      <w:ind w:left="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30DED" w14:textId="32384186" w:rsidR="00AF331A" w:rsidRDefault="00AF331A">
    <w:pPr>
      <w:pStyle w:val="BodyText"/>
      <w:spacing w:line="14" w:lineRule="auto"/>
      <w:ind w:left="0"/>
    </w:pPr>
    <w:r>
      <w:rPr>
        <w:noProof/>
      </w:rPr>
      <mc:AlternateContent>
        <mc:Choice Requires="wps">
          <w:drawing>
            <wp:anchor distT="0" distB="0" distL="114300" distR="114300" simplePos="0" relativeHeight="487028224" behindDoc="1" locked="0" layoutInCell="1" allowOverlap="1" wp14:anchorId="4E30679C" wp14:editId="06FA68A3">
              <wp:simplePos x="0" y="0"/>
              <wp:positionH relativeFrom="page">
                <wp:posOffset>614045</wp:posOffset>
              </wp:positionH>
              <wp:positionV relativeFrom="page">
                <wp:posOffset>9688830</wp:posOffset>
              </wp:positionV>
              <wp:extent cx="133350" cy="152400"/>
              <wp:effectExtent l="0" t="0" r="6350" b="0"/>
              <wp:wrapNone/>
              <wp:docPr id="19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9467" w14:textId="77777777" w:rsidR="00AF331A" w:rsidRDefault="00AF331A">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0679C" id="_x0000_t202" coordsize="21600,21600" o:spt="202" path="m,l,21600r21600,l21600,xe">
              <v:stroke joinstyle="miter"/>
              <v:path gradientshapeok="t" o:connecttype="rect"/>
            </v:shapetype>
            <v:shape id="Text Box 74" o:spid="_x0000_s1026" type="#_x0000_t202" style="position:absolute;margin-left:48.35pt;margin-top:762.9pt;width:10.5pt;height:12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HtnwIAAJQFAAAOAAAAZHJzL2Uyb0RvYy54bWysVO1umzAU/T9p72D5PwES8gEqqZoQpknd&#10;h9TuARwwwZqxme0EumnvvmtT0rTVpGkbP9C1fX3uxzm+V9d9w9GJKs2kSHE4CTCiopAlE4cUf7nP&#10;vRVG2hBREi4FTfED1fh6/fbNVdcmdCpryUuqEIAInXRtimtj2sT3dVHThuiJbKmAw0qqhhhYqoNf&#10;KtIBesP9aRAs/E6qslWyoFrDbjYc4rXDrypamE9VpalBPMWQm3F/5f57+/fXVyQ5KNLWrHhMg/xF&#10;Fg1hAoKeoTJiCDoq9gqqYYWSWlZmUsjGl1XFCupqgGrC4EU1dzVpqasFmqPbc5v0/4MtPp4+K8RK&#10;4C4GqgRpgKR72hu0kT1aRrZBXasT8LtrwdP0sA/Orljd3sriqwYX/8JnuKCt9777IEsAJEcj3Y2+&#10;Uo1tExSOAAYYeTizYIMWFns2m83hpICjcD6NAseST5Lxcqu0eUdlg6yRYgUkO3ByutXGJkOS0cXG&#10;EjJnnDuiuXi2AY7DDoSGq/bMJuF4+xEH8W61W0VeNF3svCjIMu8m30beIg+X82yWbbdZ+NPGDaOk&#10;ZmVJhQ0zaiiM/oyjRzUP7J9VpCVnpYWzKWl12G+5QicCGs7dZ1mB5C/c/OdpuGOo5UVJIXRzM429&#10;fLFaelEezb14Gay8IIw38SKI4ijLn5d0ywT995JQl+J4Pp0PovltbYH7XtdGkoYZmBKcNSlenZ1I&#10;UlNS7kTpqDWE8cG+aIVN/6kV0LGRaKdXK9FBrKbf94BiRbyX5QMoV0lQFogQRhsYtVTfMepgTKRY&#10;fzsSRTHi7wW8QztTRkONxn40iCjgaooNRoO5NcPsObaKHWpAHh6SkDfwQirm1PuUBaRuF/D0XRGP&#10;Y8rOlsu183oaputfAAAA//8DAFBLAwQUAAYACAAAACEAYdmcVOAAAAAMAQAADwAAAGRycy9kb3du&#10;cmV2LnhtbEyPwU7DMBBE70j8g7VI3KjTiDRtGqdCRRUHxKEFpB63sYkjYjuK3dT9ezanctzZ0cyb&#10;chNNx0Y1+NZZAfNZAkzZ2snWNgK+PndPS2A+oJXYOasEXJWHTXV/V2Ih3cXu1XgIDaMQ6wsUoEPo&#10;C859rZVBP3O9svT7cYPBQOfQcDnghcJNx9MkWXCDraUGjb3aalX/Hs5GwPe2373Ho8aPMZNvr2m+&#10;vw51FOLxIb6sgQUVw80MEz6hQ0VMJ3e20rNOwGqRk5P0LM1ow+SY5ySdJul5tQRelfz/iOoPAAD/&#10;/wMAUEsBAi0AFAAGAAgAAAAhALaDOJL+AAAA4QEAABMAAAAAAAAAAAAAAAAAAAAAAFtDb250ZW50&#10;X1R5cGVzXS54bWxQSwECLQAUAAYACAAAACEAOP0h/9YAAACUAQAACwAAAAAAAAAAAAAAAAAvAQAA&#10;X3JlbHMvLnJlbHNQSwECLQAUAAYACAAAACEAQLwR7Z8CAACUBQAADgAAAAAAAAAAAAAAAAAuAgAA&#10;ZHJzL2Uyb0RvYy54bWxQSwECLQAUAAYACAAAACEAYdmcVOAAAAAMAQAADwAAAAAAAAAAAAAAAAD5&#10;BAAAZHJzL2Rvd25yZXYueG1sUEsFBgAAAAAEAAQA8wAAAAYGAAAAAA==&#10;" filled="f" stroked="f">
              <v:path arrowok="t"/>
              <v:textbox inset="0,0,0,0">
                <w:txbxContent>
                  <w:p w14:paraId="2E4B9467" w14:textId="77777777" w:rsidR="00AF331A" w:rsidRDefault="00AF331A">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28736" behindDoc="1" locked="0" layoutInCell="1" allowOverlap="1" wp14:anchorId="7B604793" wp14:editId="0A23C745">
              <wp:simplePos x="0" y="0"/>
              <wp:positionH relativeFrom="page">
                <wp:posOffset>3048000</wp:posOffset>
              </wp:positionH>
              <wp:positionV relativeFrom="page">
                <wp:posOffset>9704705</wp:posOffset>
              </wp:positionV>
              <wp:extent cx="3437890" cy="152400"/>
              <wp:effectExtent l="0" t="0" r="3810" b="0"/>
              <wp:wrapNone/>
              <wp:docPr id="19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7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D962" w14:textId="77777777" w:rsidR="00AF331A" w:rsidRDefault="00AF331A">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04793" id="Text Box 73" o:spid="_x0000_s1027" type="#_x0000_t202" style="position:absolute;margin-left:240pt;margin-top:764.15pt;width:270.7pt;height:12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b3pAIAAJwFAAAOAAAAZHJzL2Uyb0RvYy54bWysVG1vmzAQ/j5p/8HydwokJAFUUrUhTJO6&#10;F6ndD3CMCdbAZrYT6Kb9951NSdNWk6ZtfEBn+3x3zz2P7/JqaBt0ZEpzKTIcXgQYMUFlycU+w1/u&#10;Cy/GSBsiStJIwTL8wDS+Wr99c9l3KZvJWjYlUwiCCJ32XYZrY7rU9zWtWUv0heyYgMNKqpYYWKq9&#10;XyrSQ/S28WdBsPR7qcpOScq0ht18PMRrF7+qGDWfqkozg5oMQ23G/ZX77+zfX1+SdK9IV3P6WAb5&#10;iypawgUkPYXKiSHooPirUC2nSmpZmQsqW19WFafMYQA0YfACzV1NOuawQHN0d2qT/n9h6cfjZ4V4&#10;CdwlK4wEaYGkezYYdCMHtJrbBvWdTsHvrgNPM8A+ODuwuruV9KsGF//MZ7ygrfeu/yBLCEgORrob&#10;Q6Va2yYAjiAMMPJwYsEmpbA5j+arOIEjCmfhYhYFjiafpNPtTmnzjskWWSPDClh20cnxVhtbDUkn&#10;F5tMyII3jWO6Ec82wHHcgdxw1Z7ZKhxxP5Ig2cbbOPKi2XLrRUGee9fFJvKWRbha5PN8s8nDnzZv&#10;GKU1L0smbJpJRGH0ZyQ9ynmk/yQjLRte2nC2JK32u02j0JGAiAv3WVqg+DM3/3kZ7hiwvIAUQjdv&#10;ZolXLOOVFxXRwktWQewFYXKTLIMoifLiOaRbLti/Q0J9hpPFbDGq5rfYAve9xkbSlhsYEw1vMxyf&#10;nEhaM1JuRemoNYQ3o33WClv+UyugYxPRTrBWo6NazbAbxlcwCX4nywdQsJIgMNAijDgwaqm+Y9TD&#10;uMiw/nYgimHUvBfwHu1smQw1GbvJIILC1QwbjEZzY8YZdOgU39cQeXxQQl7DS6m4E7F9UmMVgMAu&#10;YAQ4LI/jys6Y87Xzehqq618AAAD//wMAUEsDBBQABgAIAAAAIQAXfNXT4gAAAA4BAAAPAAAAZHJz&#10;L2Rvd25yZXYueG1sTI/BTsMwEETvSPyDtUjcqF23gSjEqVBRxQFxaAGJ4zY2cURsR7abun+Pc4Lj&#10;zoxm39SbZAYyKR96ZwUsFwyIsq2Tve0EfLzv7kogIaKVODirBFxUgE1zfVVjJd3Z7tV0iB3JJTZU&#10;KEDHOFaUhlYrg2HhRmWz9+28wZhP31Hp8ZzLzUA5Y/fUYG/zB42j2mrV/hxORsDndty9pi+Nb1Mh&#10;X575w/7i2yTE7U16egQSVYp/YZjxMzo0menoTlYGMghYlyxvidkoeLkCMkcYX66BHGet4CugTU3/&#10;z2h+AQAA//8DAFBLAQItABQABgAIAAAAIQC2gziS/gAAAOEBAAATAAAAAAAAAAAAAAAAAAAAAABb&#10;Q29udGVudF9UeXBlc10ueG1sUEsBAi0AFAAGAAgAAAAhADj9If/WAAAAlAEAAAsAAAAAAAAAAAAA&#10;AAAALwEAAF9yZWxzLy5yZWxzUEsBAi0AFAAGAAgAAAAhAB7GBvekAgAAnAUAAA4AAAAAAAAAAAAA&#10;AAAALgIAAGRycy9lMm9Eb2MueG1sUEsBAi0AFAAGAAgAAAAhABd81dPiAAAADgEAAA8AAAAAAAAA&#10;AAAAAAAA/gQAAGRycy9kb3ducmV2LnhtbFBLBQYAAAAABAAEAPMAAAANBgAAAAA=&#10;" filled="f" stroked="f">
              <v:path arrowok="t"/>
              <v:textbox inset="0,0,0,0">
                <w:txbxContent>
                  <w:p w14:paraId="37DFD962" w14:textId="77777777" w:rsidR="00AF331A" w:rsidRDefault="00AF331A">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554"/>
      <w:gridCol w:w="556"/>
    </w:tblGrid>
    <w:tr w:rsidR="00AF331A" w14:paraId="4544D367" w14:textId="77777777">
      <w:trPr>
        <w:jc w:val="right"/>
      </w:trPr>
      <w:tc>
        <w:tcPr>
          <w:tcW w:w="4795" w:type="dxa"/>
          <w:vAlign w:val="center"/>
        </w:tcPr>
        <w:p w14:paraId="7ABE0022" w14:textId="2DF11041" w:rsidR="00AF331A" w:rsidRDefault="00AF331A">
          <w:pPr>
            <w:pStyle w:val="Header"/>
            <w:jc w:val="right"/>
            <w:rPr>
              <w:caps/>
              <w:color w:val="000000" w:themeColor="text1"/>
            </w:rPr>
          </w:pPr>
          <w:r w:rsidRPr="00F04652">
            <w:rPr>
              <w:b/>
              <w:color w:val="000000" w:themeColor="text1"/>
              <w:spacing w:val="-1"/>
              <w:sz w:val="18"/>
            </w:rPr>
            <w:t>Journal of Economics and Business Letters</w:t>
          </w:r>
          <w:r w:rsidRPr="00C326F5">
            <w:rPr>
              <w:b/>
              <w:color w:val="231F20"/>
              <w:spacing w:val="-1"/>
              <w:sz w:val="18"/>
            </w:rPr>
            <w:t>, 2021, 1(1), 1-12</w:t>
          </w:r>
        </w:p>
      </w:tc>
      <w:tc>
        <w:tcPr>
          <w:tcW w:w="250" w:type="pct"/>
          <w:shd w:val="clear" w:color="auto" w:fill="C0504D" w:themeFill="accent2"/>
          <w:vAlign w:val="center"/>
        </w:tcPr>
        <w:p w14:paraId="6618175A" w14:textId="2119D71A" w:rsidR="00AF331A" w:rsidRDefault="00AF331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5586F">
            <w:rPr>
              <w:noProof/>
              <w:color w:val="FFFFFF" w:themeColor="background1"/>
            </w:rPr>
            <w:t>8</w:t>
          </w:r>
          <w:r>
            <w:rPr>
              <w:noProof/>
              <w:color w:val="FFFFFF" w:themeColor="background1"/>
            </w:rPr>
            <w:fldChar w:fldCharType="end"/>
          </w:r>
        </w:p>
      </w:tc>
    </w:tr>
  </w:tbl>
  <w:p w14:paraId="0B321475" w14:textId="5D2D5DD1" w:rsidR="00AF331A" w:rsidRDefault="00AF331A">
    <w:pPr>
      <w:pStyle w:val="BodyText"/>
      <w:spacing w:line="14"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E084" w14:textId="77777777" w:rsidR="005835D9" w:rsidRDefault="005835D9">
      <w:r>
        <w:separator/>
      </w:r>
    </w:p>
  </w:footnote>
  <w:footnote w:type="continuationSeparator" w:id="0">
    <w:p w14:paraId="7CF4C60A" w14:textId="77777777" w:rsidR="005835D9" w:rsidRDefault="005835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978"/>
    <w:multiLevelType w:val="hybridMultilevel"/>
    <w:tmpl w:val="5736060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5563187"/>
    <w:multiLevelType w:val="hybridMultilevel"/>
    <w:tmpl w:val="8A40500E"/>
    <w:lvl w:ilvl="0" w:tplc="04090019">
      <w:start w:val="1"/>
      <w:numFmt w:val="lowerLetter"/>
      <w:lvlText w:val="%1."/>
      <w:lvlJc w:val="left"/>
      <w:pPr>
        <w:ind w:left="834" w:hanging="360"/>
      </w:p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 w15:restartNumberingAfterBreak="0">
    <w:nsid w:val="1E8A44A9"/>
    <w:multiLevelType w:val="hybridMultilevel"/>
    <w:tmpl w:val="87822C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0CE4"/>
    <w:multiLevelType w:val="hybridMultilevel"/>
    <w:tmpl w:val="60368148"/>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 w15:restartNumberingAfterBreak="0">
    <w:nsid w:val="2A8A2192"/>
    <w:multiLevelType w:val="hybridMultilevel"/>
    <w:tmpl w:val="1B9EFB70"/>
    <w:lvl w:ilvl="0" w:tplc="970E7EC4">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0C686884">
      <w:numFmt w:val="bullet"/>
      <w:lvlText w:val="•"/>
      <w:lvlJc w:val="left"/>
      <w:pPr>
        <w:ind w:left="2150" w:hanging="245"/>
      </w:pPr>
      <w:rPr>
        <w:rFonts w:hint="default"/>
        <w:lang w:val="en-US" w:eastAsia="en-US" w:bidi="ar-SA"/>
      </w:rPr>
    </w:lvl>
    <w:lvl w:ilvl="2" w:tplc="1B96C86C">
      <w:numFmt w:val="bullet"/>
      <w:lvlText w:val="•"/>
      <w:lvlJc w:val="left"/>
      <w:pPr>
        <w:ind w:left="2501" w:hanging="245"/>
      </w:pPr>
      <w:rPr>
        <w:rFonts w:hint="default"/>
        <w:lang w:val="en-US" w:eastAsia="en-US" w:bidi="ar-SA"/>
      </w:rPr>
    </w:lvl>
    <w:lvl w:ilvl="3" w:tplc="798A43B4">
      <w:numFmt w:val="bullet"/>
      <w:lvlText w:val="•"/>
      <w:lvlJc w:val="left"/>
      <w:pPr>
        <w:ind w:left="2852" w:hanging="245"/>
      </w:pPr>
      <w:rPr>
        <w:rFonts w:hint="default"/>
        <w:lang w:val="en-US" w:eastAsia="en-US" w:bidi="ar-SA"/>
      </w:rPr>
    </w:lvl>
    <w:lvl w:ilvl="4" w:tplc="D2D610E8">
      <w:numFmt w:val="bullet"/>
      <w:lvlText w:val="•"/>
      <w:lvlJc w:val="left"/>
      <w:pPr>
        <w:ind w:left="3203" w:hanging="245"/>
      </w:pPr>
      <w:rPr>
        <w:rFonts w:hint="default"/>
        <w:lang w:val="en-US" w:eastAsia="en-US" w:bidi="ar-SA"/>
      </w:rPr>
    </w:lvl>
    <w:lvl w:ilvl="5" w:tplc="D062D6BE">
      <w:numFmt w:val="bullet"/>
      <w:lvlText w:val="•"/>
      <w:lvlJc w:val="left"/>
      <w:pPr>
        <w:ind w:left="3554" w:hanging="245"/>
      </w:pPr>
      <w:rPr>
        <w:rFonts w:hint="default"/>
        <w:lang w:val="en-US" w:eastAsia="en-US" w:bidi="ar-SA"/>
      </w:rPr>
    </w:lvl>
    <w:lvl w:ilvl="6" w:tplc="D5DE655A">
      <w:numFmt w:val="bullet"/>
      <w:lvlText w:val="•"/>
      <w:lvlJc w:val="left"/>
      <w:pPr>
        <w:ind w:left="3904" w:hanging="245"/>
      </w:pPr>
      <w:rPr>
        <w:rFonts w:hint="default"/>
        <w:lang w:val="en-US" w:eastAsia="en-US" w:bidi="ar-SA"/>
      </w:rPr>
    </w:lvl>
    <w:lvl w:ilvl="7" w:tplc="CB3E9284">
      <w:numFmt w:val="bullet"/>
      <w:lvlText w:val="•"/>
      <w:lvlJc w:val="left"/>
      <w:pPr>
        <w:ind w:left="4255" w:hanging="245"/>
      </w:pPr>
      <w:rPr>
        <w:rFonts w:hint="default"/>
        <w:lang w:val="en-US" w:eastAsia="en-US" w:bidi="ar-SA"/>
      </w:rPr>
    </w:lvl>
    <w:lvl w:ilvl="8" w:tplc="5BFE91EC">
      <w:numFmt w:val="bullet"/>
      <w:lvlText w:val="•"/>
      <w:lvlJc w:val="left"/>
      <w:pPr>
        <w:ind w:left="4606" w:hanging="245"/>
      </w:pPr>
      <w:rPr>
        <w:rFonts w:hint="default"/>
        <w:lang w:val="en-US" w:eastAsia="en-US" w:bidi="ar-SA"/>
      </w:rPr>
    </w:lvl>
  </w:abstractNum>
  <w:abstractNum w:abstractNumId="5" w15:restartNumberingAfterBreak="0">
    <w:nsid w:val="319313F8"/>
    <w:multiLevelType w:val="hybridMultilevel"/>
    <w:tmpl w:val="7D3C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97A6A"/>
    <w:multiLevelType w:val="hybridMultilevel"/>
    <w:tmpl w:val="1090C7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C1670"/>
    <w:multiLevelType w:val="hybridMultilevel"/>
    <w:tmpl w:val="D888533A"/>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8" w15:restartNumberingAfterBreak="0">
    <w:nsid w:val="5C7F47DF"/>
    <w:multiLevelType w:val="hybridMultilevel"/>
    <w:tmpl w:val="D8F48024"/>
    <w:lvl w:ilvl="0" w:tplc="0409000F">
      <w:start w:val="1"/>
      <w:numFmt w:val="decimal"/>
      <w:lvlText w:val="%1."/>
      <w:lvlJc w:val="left"/>
      <w:pPr>
        <w:ind w:left="834" w:hanging="360"/>
      </w:pPr>
    </w:lvl>
    <w:lvl w:ilvl="1" w:tplc="85660CE2">
      <w:start w:val="1"/>
      <w:numFmt w:val="lowerLetter"/>
      <w:lvlText w:val="%2."/>
      <w:lvlJc w:val="left"/>
      <w:pPr>
        <w:ind w:left="1554" w:hanging="360"/>
      </w:pPr>
      <w:rPr>
        <w:rFonts w:hint="default"/>
      </w:r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9" w15:restartNumberingAfterBreak="0">
    <w:nsid w:val="5EC31668"/>
    <w:multiLevelType w:val="hybridMultilevel"/>
    <w:tmpl w:val="8876A3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81129D8"/>
    <w:multiLevelType w:val="hybridMultilevel"/>
    <w:tmpl w:val="03BA5208"/>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1" w15:restartNumberingAfterBreak="0">
    <w:nsid w:val="6F167061"/>
    <w:multiLevelType w:val="hybridMultilevel"/>
    <w:tmpl w:val="3822FF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FD04936"/>
    <w:multiLevelType w:val="hybridMultilevel"/>
    <w:tmpl w:val="D21AC6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475AD"/>
    <w:multiLevelType w:val="hybridMultilevel"/>
    <w:tmpl w:val="5DC818B6"/>
    <w:lvl w:ilvl="0" w:tplc="04090019">
      <w:start w:val="1"/>
      <w:numFmt w:val="lowerLetter"/>
      <w:lvlText w:val="%1."/>
      <w:lvlJc w:val="left"/>
      <w:pPr>
        <w:ind w:left="834" w:hanging="360"/>
      </w:p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4" w15:restartNumberingAfterBreak="0">
    <w:nsid w:val="7D10133E"/>
    <w:multiLevelType w:val="hybridMultilevel"/>
    <w:tmpl w:val="D4D692FA"/>
    <w:lvl w:ilvl="0" w:tplc="0409000F">
      <w:start w:val="1"/>
      <w:numFmt w:val="decimal"/>
      <w:lvlText w:val="%1."/>
      <w:lvlJc w:val="left"/>
      <w:pPr>
        <w:ind w:left="834" w:hanging="360"/>
      </w:pPr>
    </w:lvl>
    <w:lvl w:ilvl="1" w:tplc="0409000F">
      <w:start w:val="1"/>
      <w:numFmt w:val="decimal"/>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num w:numId="1">
    <w:abstractNumId w:val="4"/>
  </w:num>
  <w:num w:numId="2">
    <w:abstractNumId w:val="11"/>
  </w:num>
  <w:num w:numId="3">
    <w:abstractNumId w:val="3"/>
  </w:num>
  <w:num w:numId="4">
    <w:abstractNumId w:val="8"/>
  </w:num>
  <w:num w:numId="5">
    <w:abstractNumId w:val="13"/>
  </w:num>
  <w:num w:numId="6">
    <w:abstractNumId w:val="10"/>
  </w:num>
  <w:num w:numId="7">
    <w:abstractNumId w:val="1"/>
  </w:num>
  <w:num w:numId="8">
    <w:abstractNumId w:val="9"/>
  </w:num>
  <w:num w:numId="9">
    <w:abstractNumId w:val="0"/>
  </w:num>
  <w:num w:numId="10">
    <w:abstractNumId w:val="14"/>
  </w:num>
  <w:num w:numId="11">
    <w:abstractNumId w:val="2"/>
  </w:num>
  <w:num w:numId="12">
    <w:abstractNumId w:val="6"/>
  </w:num>
  <w:num w:numId="13">
    <w:abstractNumId w:val="12"/>
  </w:num>
  <w:num w:numId="14">
    <w:abstractNumId w:val="5"/>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57"/>
    <w:rsid w:val="0000149A"/>
    <w:rsid w:val="000162BB"/>
    <w:rsid w:val="00052443"/>
    <w:rsid w:val="000562E7"/>
    <w:rsid w:val="0008058A"/>
    <w:rsid w:val="0008312F"/>
    <w:rsid w:val="00083150"/>
    <w:rsid w:val="00095FF8"/>
    <w:rsid w:val="000C2920"/>
    <w:rsid w:val="000E04A6"/>
    <w:rsid w:val="000F006A"/>
    <w:rsid w:val="00132145"/>
    <w:rsid w:val="00137AF9"/>
    <w:rsid w:val="00154B3D"/>
    <w:rsid w:val="00187460"/>
    <w:rsid w:val="00191B4E"/>
    <w:rsid w:val="001B43A5"/>
    <w:rsid w:val="001B585C"/>
    <w:rsid w:val="001C5A63"/>
    <w:rsid w:val="00201E07"/>
    <w:rsid w:val="002035C4"/>
    <w:rsid w:val="0021234D"/>
    <w:rsid w:val="002140DA"/>
    <w:rsid w:val="0024505E"/>
    <w:rsid w:val="0024547D"/>
    <w:rsid w:val="00247E14"/>
    <w:rsid w:val="00270195"/>
    <w:rsid w:val="00290924"/>
    <w:rsid w:val="002B308C"/>
    <w:rsid w:val="002B3E14"/>
    <w:rsid w:val="002D4D11"/>
    <w:rsid w:val="002E2352"/>
    <w:rsid w:val="002F4D48"/>
    <w:rsid w:val="00301A45"/>
    <w:rsid w:val="003031AB"/>
    <w:rsid w:val="003079CB"/>
    <w:rsid w:val="003226C0"/>
    <w:rsid w:val="0038116D"/>
    <w:rsid w:val="00383A2F"/>
    <w:rsid w:val="00396F78"/>
    <w:rsid w:val="003A3F27"/>
    <w:rsid w:val="003B2785"/>
    <w:rsid w:val="003C5FAD"/>
    <w:rsid w:val="003E469F"/>
    <w:rsid w:val="003E7956"/>
    <w:rsid w:val="003F26A4"/>
    <w:rsid w:val="0043032C"/>
    <w:rsid w:val="00444C89"/>
    <w:rsid w:val="0047071D"/>
    <w:rsid w:val="004B0C7D"/>
    <w:rsid w:val="004C0E56"/>
    <w:rsid w:val="004D309A"/>
    <w:rsid w:val="004D3D58"/>
    <w:rsid w:val="004D53BC"/>
    <w:rsid w:val="004E1FDD"/>
    <w:rsid w:val="004E448F"/>
    <w:rsid w:val="0050135B"/>
    <w:rsid w:val="0051208F"/>
    <w:rsid w:val="005546F0"/>
    <w:rsid w:val="00560648"/>
    <w:rsid w:val="00564B98"/>
    <w:rsid w:val="005835D9"/>
    <w:rsid w:val="005B0EA1"/>
    <w:rsid w:val="005B12CC"/>
    <w:rsid w:val="005E719F"/>
    <w:rsid w:val="00617008"/>
    <w:rsid w:val="00623C42"/>
    <w:rsid w:val="00650744"/>
    <w:rsid w:val="006516E4"/>
    <w:rsid w:val="00666830"/>
    <w:rsid w:val="00691B8C"/>
    <w:rsid w:val="006A6BC3"/>
    <w:rsid w:val="00701CF8"/>
    <w:rsid w:val="0071205A"/>
    <w:rsid w:val="007257E2"/>
    <w:rsid w:val="007605F7"/>
    <w:rsid w:val="00794558"/>
    <w:rsid w:val="007B30BE"/>
    <w:rsid w:val="007B54B5"/>
    <w:rsid w:val="007C3F0B"/>
    <w:rsid w:val="007C49D5"/>
    <w:rsid w:val="007C7B35"/>
    <w:rsid w:val="007E0339"/>
    <w:rsid w:val="007E7D48"/>
    <w:rsid w:val="007F0763"/>
    <w:rsid w:val="007F3EC5"/>
    <w:rsid w:val="00813923"/>
    <w:rsid w:val="00830815"/>
    <w:rsid w:val="008354AE"/>
    <w:rsid w:val="008667CD"/>
    <w:rsid w:val="00882443"/>
    <w:rsid w:val="008843E0"/>
    <w:rsid w:val="008869ED"/>
    <w:rsid w:val="00887042"/>
    <w:rsid w:val="008F2301"/>
    <w:rsid w:val="008F5828"/>
    <w:rsid w:val="009033C2"/>
    <w:rsid w:val="0090538D"/>
    <w:rsid w:val="009072C3"/>
    <w:rsid w:val="009171FA"/>
    <w:rsid w:val="009247FF"/>
    <w:rsid w:val="00947C46"/>
    <w:rsid w:val="00986E68"/>
    <w:rsid w:val="009C5819"/>
    <w:rsid w:val="009F612B"/>
    <w:rsid w:val="00A4206B"/>
    <w:rsid w:val="00A57E55"/>
    <w:rsid w:val="00A632E6"/>
    <w:rsid w:val="00A67168"/>
    <w:rsid w:val="00AA39EB"/>
    <w:rsid w:val="00AB27C5"/>
    <w:rsid w:val="00AB287D"/>
    <w:rsid w:val="00AC1ACC"/>
    <w:rsid w:val="00AC2B9D"/>
    <w:rsid w:val="00AC419C"/>
    <w:rsid w:val="00AC5F2A"/>
    <w:rsid w:val="00AE0765"/>
    <w:rsid w:val="00AE1BE4"/>
    <w:rsid w:val="00AF331A"/>
    <w:rsid w:val="00B21B44"/>
    <w:rsid w:val="00B23170"/>
    <w:rsid w:val="00B42B76"/>
    <w:rsid w:val="00B505BB"/>
    <w:rsid w:val="00B52102"/>
    <w:rsid w:val="00B570BA"/>
    <w:rsid w:val="00B7499D"/>
    <w:rsid w:val="00B80966"/>
    <w:rsid w:val="00BB4270"/>
    <w:rsid w:val="00BC611B"/>
    <w:rsid w:val="00BE176B"/>
    <w:rsid w:val="00BF559A"/>
    <w:rsid w:val="00C16753"/>
    <w:rsid w:val="00C326F5"/>
    <w:rsid w:val="00C35B1C"/>
    <w:rsid w:val="00C36D99"/>
    <w:rsid w:val="00C41B3C"/>
    <w:rsid w:val="00C62033"/>
    <w:rsid w:val="00C6304B"/>
    <w:rsid w:val="00C774F7"/>
    <w:rsid w:val="00CB0C0C"/>
    <w:rsid w:val="00CD0D57"/>
    <w:rsid w:val="00CD3CBE"/>
    <w:rsid w:val="00CE540A"/>
    <w:rsid w:val="00D13AC9"/>
    <w:rsid w:val="00D254F3"/>
    <w:rsid w:val="00D40374"/>
    <w:rsid w:val="00D72570"/>
    <w:rsid w:val="00D87E15"/>
    <w:rsid w:val="00DA3847"/>
    <w:rsid w:val="00DB38BE"/>
    <w:rsid w:val="00DD7EA4"/>
    <w:rsid w:val="00DE4E98"/>
    <w:rsid w:val="00E17B0D"/>
    <w:rsid w:val="00E226A7"/>
    <w:rsid w:val="00E22FFA"/>
    <w:rsid w:val="00E512A2"/>
    <w:rsid w:val="00E66CF5"/>
    <w:rsid w:val="00EC714F"/>
    <w:rsid w:val="00ED46E1"/>
    <w:rsid w:val="00EE4581"/>
    <w:rsid w:val="00EE783F"/>
    <w:rsid w:val="00F04652"/>
    <w:rsid w:val="00F127C1"/>
    <w:rsid w:val="00F26B25"/>
    <w:rsid w:val="00F32435"/>
    <w:rsid w:val="00F32BEC"/>
    <w:rsid w:val="00F549F7"/>
    <w:rsid w:val="00F5586F"/>
    <w:rsid w:val="00F86901"/>
    <w:rsid w:val="00F916CC"/>
    <w:rsid w:val="00F92025"/>
    <w:rsid w:val="00F95985"/>
    <w:rsid w:val="00FE2A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E01E0"/>
  <w15:docId w15:val="{12B256A0-63E0-4203-AC75-6B85A5B9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hanging="245"/>
      <w:outlineLvl w:val="0"/>
    </w:pPr>
    <w:rPr>
      <w:b/>
      <w:bCs/>
      <w:sz w:val="24"/>
      <w:szCs w:val="24"/>
    </w:rPr>
  </w:style>
  <w:style w:type="paragraph" w:styleId="Heading2">
    <w:name w:val="heading 2"/>
    <w:basedOn w:val="Normal"/>
    <w:uiPriority w:val="9"/>
    <w:unhideWhenUsed/>
    <w:qFormat/>
    <w:pPr>
      <w:ind w:left="499" w:hanging="38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pPr>
    <w:rPr>
      <w:sz w:val="20"/>
      <w:szCs w:val="20"/>
    </w:rPr>
  </w:style>
  <w:style w:type="paragraph" w:styleId="Title">
    <w:name w:val="Title"/>
    <w:basedOn w:val="Normal"/>
    <w:uiPriority w:val="10"/>
    <w:qFormat/>
    <w:pPr>
      <w:spacing w:line="428" w:lineRule="exact"/>
      <w:ind w:left="114"/>
    </w:pPr>
    <w:rPr>
      <w:b/>
      <w:bCs/>
      <w:sz w:val="38"/>
      <w:szCs w:val="38"/>
    </w:rPr>
  </w:style>
  <w:style w:type="paragraph" w:styleId="ListParagraph">
    <w:name w:val="List Paragraph"/>
    <w:aliases w:val="spasi 2 taiiii,Body of text+2,YEAH!,Heading 2 Char1,Char Char,List Paragraph1,List Paragraph11,skripsi,Body Text Char1,Char Char2,List Paragraph2,Body of text"/>
    <w:basedOn w:val="Normal"/>
    <w:link w:val="ListParagraphChar"/>
    <w:uiPriority w:val="34"/>
    <w:qFormat/>
    <w:pPr>
      <w:ind w:left="454"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648"/>
    <w:pPr>
      <w:tabs>
        <w:tab w:val="center" w:pos="4680"/>
        <w:tab w:val="right" w:pos="9360"/>
      </w:tabs>
    </w:pPr>
  </w:style>
  <w:style w:type="character" w:customStyle="1" w:styleId="HeaderChar">
    <w:name w:val="Header Char"/>
    <w:basedOn w:val="DefaultParagraphFont"/>
    <w:link w:val="Header"/>
    <w:uiPriority w:val="99"/>
    <w:rsid w:val="00560648"/>
    <w:rPr>
      <w:rFonts w:ascii="Times New Roman" w:eastAsia="Times New Roman" w:hAnsi="Times New Roman" w:cs="Times New Roman"/>
    </w:rPr>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rPr>
      <w:rFonts w:ascii="Times New Roman" w:eastAsia="Times New Roman" w:hAnsi="Times New Roman" w:cs="Times New Roman"/>
    </w:rPr>
  </w:style>
  <w:style w:type="character" w:styleId="Hyperlink">
    <w:name w:val="Hyperlink"/>
    <w:basedOn w:val="DefaultParagraphFont"/>
    <w:uiPriority w:val="99"/>
    <w:unhideWhenUsed/>
    <w:rsid w:val="00DB38BE"/>
    <w:rPr>
      <w:color w:val="0000FF" w:themeColor="hyperlink"/>
      <w:u w:val="single"/>
    </w:rPr>
  </w:style>
  <w:style w:type="paragraph" w:styleId="BalloonText">
    <w:name w:val="Balloon Text"/>
    <w:basedOn w:val="Normal"/>
    <w:link w:val="BalloonTextChar"/>
    <w:uiPriority w:val="99"/>
    <w:semiHidden/>
    <w:unhideWhenUsed/>
    <w:rsid w:val="000C2920"/>
    <w:rPr>
      <w:rFonts w:ascii="Tahoma" w:hAnsi="Tahoma" w:cs="Tahoma"/>
      <w:sz w:val="16"/>
      <w:szCs w:val="16"/>
    </w:rPr>
  </w:style>
  <w:style w:type="character" w:customStyle="1" w:styleId="BalloonTextChar">
    <w:name w:val="Balloon Text Char"/>
    <w:basedOn w:val="DefaultParagraphFont"/>
    <w:link w:val="BalloonText"/>
    <w:uiPriority w:val="99"/>
    <w:semiHidden/>
    <w:rsid w:val="000C2920"/>
    <w:rPr>
      <w:rFonts w:ascii="Tahoma" w:eastAsia="Times New Roman" w:hAnsi="Tahoma" w:cs="Tahoma"/>
      <w:sz w:val="16"/>
      <w:szCs w:val="16"/>
    </w:rPr>
  </w:style>
  <w:style w:type="character" w:customStyle="1" w:styleId="BodyTextChar">
    <w:name w:val="Body Text Char"/>
    <w:basedOn w:val="DefaultParagraphFont"/>
    <w:link w:val="BodyText"/>
    <w:uiPriority w:val="1"/>
    <w:rsid w:val="003079CB"/>
    <w:rPr>
      <w:rFonts w:ascii="Times New Roman" w:eastAsia="Times New Roman" w:hAnsi="Times New Roman" w:cs="Times New Roman"/>
      <w:sz w:val="20"/>
      <w:szCs w:val="20"/>
    </w:rPr>
  </w:style>
  <w:style w:type="table" w:styleId="TableGrid">
    <w:name w:val="Table Grid"/>
    <w:basedOn w:val="TableNormal"/>
    <w:uiPriority w:val="59"/>
    <w:rsid w:val="0050135B"/>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spasi 2 taiiii Char,Body of text+2 Char,YEAH! Char,Heading 2 Char1 Char,Char Char Char,List Paragraph1 Char,List Paragraph11 Char,skripsi Char,Body Text Char1 Char,Char Char2 Char,List Paragraph2 Char,Body of text Char"/>
    <w:link w:val="ListParagraph"/>
    <w:uiPriority w:val="34"/>
    <w:qFormat/>
    <w:rsid w:val="00B809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8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0D2906385B614CA6ED683ACE44EE9B"/>
        <w:category>
          <w:name w:val="General"/>
          <w:gallery w:val="placeholder"/>
        </w:category>
        <w:types>
          <w:type w:val="bbPlcHdr"/>
        </w:types>
        <w:behaviors>
          <w:behavior w:val="content"/>
        </w:behaviors>
        <w:guid w:val="{67E00F84-1EC7-C342-8F23-CFDC73DEE261}"/>
      </w:docPartPr>
      <w:docPartBody>
        <w:p w:rsidR="002B2B9D" w:rsidRDefault="005B30A8" w:rsidP="005B30A8">
          <w:pPr>
            <w:pStyle w:val="B90D2906385B614CA6ED683ACE44EE9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A8"/>
    <w:rsid w:val="000350F3"/>
    <w:rsid w:val="00131CBD"/>
    <w:rsid w:val="00154378"/>
    <w:rsid w:val="001E7372"/>
    <w:rsid w:val="00237CB5"/>
    <w:rsid w:val="002817FB"/>
    <w:rsid w:val="002B2B9D"/>
    <w:rsid w:val="00380520"/>
    <w:rsid w:val="005B30A8"/>
    <w:rsid w:val="009959E3"/>
    <w:rsid w:val="009A6421"/>
    <w:rsid w:val="00A906AA"/>
    <w:rsid w:val="00AD2D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0466A802E9E4C951FCBD4F6778125">
    <w:name w:val="C4E0466A802E9E4C951FCBD4F6778125"/>
    <w:rsid w:val="005B30A8"/>
  </w:style>
  <w:style w:type="paragraph" w:customStyle="1" w:styleId="B90D2906385B614CA6ED683ACE44EE9B">
    <w:name w:val="B90D2906385B614CA6ED683ACE44EE9B"/>
    <w:rsid w:val="005B30A8"/>
  </w:style>
  <w:style w:type="paragraph" w:customStyle="1" w:styleId="17E2A888ECE87047904FB284A025B6EC">
    <w:name w:val="17E2A888ECE87047904FB284A025B6EC"/>
    <w:rsid w:val="005B30A8"/>
  </w:style>
  <w:style w:type="paragraph" w:customStyle="1" w:styleId="D4F4612314866A42A6EF3C94EA6CD6EB">
    <w:name w:val="D4F4612314866A42A6EF3C94EA6CD6EB"/>
    <w:rsid w:val="005B3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0DCD-A1A9-4FCC-99C9-59ACAA86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8</Pages>
  <Words>9279</Words>
  <Characters>52893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62048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Journal of Economics and Business Letters, 2021, 1(1), 1-12</dc:creator>
  <cp:keywords/>
  <dc:description/>
  <cp:lastModifiedBy>USER</cp:lastModifiedBy>
  <cp:revision>16</cp:revision>
  <cp:lastPrinted>2021-10-30T22:53:00Z</cp:lastPrinted>
  <dcterms:created xsi:type="dcterms:W3CDTF">2021-06-15T18:32:00Z</dcterms:created>
  <dcterms:modified xsi:type="dcterms:W3CDTF">2021-11-01T05:01:00Z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Adobe InDesign CS6 (Windows)</vt:lpwstr>
  </property>
  <property fmtid="{D5CDD505-2E9C-101B-9397-08002B2CF9AE}" pid="4" name="LastSaved">
    <vt:filetime>2021-06-15T00:00:00Z</vt:filetime>
  </property>
  <property fmtid="{D5CDD505-2E9C-101B-9397-08002B2CF9AE}" pid="5" name="Mendeley Document_1">
    <vt:lpwstr>True</vt:lpwstr>
  </property>
  <property fmtid="{D5CDD505-2E9C-101B-9397-08002B2CF9AE}" pid="6" name="Mendeley Unique User Id_1">
    <vt:lpwstr>ab181517-9123-364d-a5ec-f8647b381f97</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