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548C" w14:textId="359FC76E" w:rsidR="00E034D8" w:rsidRDefault="00E034D8" w:rsidP="0054120A">
      <w:pPr>
        <w:pStyle w:val="ListParagraph"/>
        <w:ind w:left="0" w:right="107"/>
        <w:jc w:val="center"/>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Default="00E034D8" w:rsidP="0054120A">
      <w:pPr>
        <w:pStyle w:val="ListParagraph"/>
        <w:ind w:left="0" w:right="107"/>
        <w:jc w:val="center"/>
        <w:rPr>
          <w:rFonts w:ascii="Garamond" w:hAnsi="Garamond"/>
          <w:b/>
          <w:sz w:val="32"/>
          <w:szCs w:val="32"/>
          <w:lang w:val="id-ID"/>
        </w:rPr>
      </w:pPr>
    </w:p>
    <w:p w14:paraId="73926122" w14:textId="3473539F" w:rsidR="00DD1F92" w:rsidRPr="000A725F" w:rsidRDefault="002A5DF6" w:rsidP="009723F7">
      <w:pPr>
        <w:pStyle w:val="ListParagraph"/>
        <w:ind w:left="0" w:right="107"/>
        <w:jc w:val="center"/>
        <w:rPr>
          <w:rFonts w:ascii="Garamond" w:hAnsi="Garamond"/>
          <w:b/>
          <w:sz w:val="32"/>
          <w:szCs w:val="32"/>
          <w:lang w:val="id-ID"/>
        </w:rPr>
      </w:pPr>
      <w:r w:rsidRPr="002A5DF6">
        <w:rPr>
          <w:rFonts w:ascii="Garamond" w:hAnsi="Garamond"/>
          <w:b/>
          <w:sz w:val="32"/>
          <w:szCs w:val="32"/>
        </w:rPr>
        <w:t xml:space="preserve">Consumer Loyalty in Indonesia’s Fast-Food Industry </w:t>
      </w:r>
      <w:proofErr w:type="gramStart"/>
      <w:r w:rsidRPr="002A5DF6">
        <w:rPr>
          <w:rFonts w:ascii="Garamond" w:hAnsi="Garamond"/>
          <w:b/>
          <w:sz w:val="32"/>
          <w:szCs w:val="32"/>
        </w:rPr>
        <w:t>A</w:t>
      </w:r>
      <w:proofErr w:type="gramEnd"/>
      <w:r w:rsidRPr="002A5DF6">
        <w:rPr>
          <w:rFonts w:ascii="Garamond" w:hAnsi="Garamond"/>
          <w:b/>
          <w:sz w:val="32"/>
          <w:szCs w:val="32"/>
        </w:rPr>
        <w:t xml:space="preserve"> Systematic Literature Review of Service Quality Price Fairness Satisfaction and Word of Mouth in the Digital Era</w:t>
      </w:r>
    </w:p>
    <w:p w14:paraId="04A31159" w14:textId="576DF1E8" w:rsidR="00073BFE" w:rsidRPr="000A725F" w:rsidRDefault="00073BFE" w:rsidP="0054120A">
      <w:pPr>
        <w:pStyle w:val="ListParagraph"/>
        <w:ind w:left="0" w:right="107"/>
        <w:jc w:val="center"/>
        <w:rPr>
          <w:rFonts w:ascii="Garamond" w:hAnsi="Garamond"/>
          <w:b/>
          <w:color w:val="000000" w:themeColor="text1"/>
          <w:lang w:bidi="en-US"/>
        </w:rPr>
      </w:pPr>
    </w:p>
    <w:p w14:paraId="2C5D3949" w14:textId="17D2E54C" w:rsidR="004B5EDE" w:rsidRPr="00F115A9" w:rsidRDefault="002A5DF6" w:rsidP="0054120A">
      <w:pPr>
        <w:pStyle w:val="ListParagraph"/>
        <w:ind w:left="0" w:right="107"/>
        <w:jc w:val="center"/>
        <w:rPr>
          <w:rFonts w:ascii="Garamond" w:hAnsi="Garamond"/>
          <w:b/>
          <w:color w:val="000000" w:themeColor="text1"/>
          <w:vertAlign w:val="superscript"/>
        </w:rPr>
      </w:pPr>
      <w:r w:rsidRPr="002A5DF6">
        <w:rPr>
          <w:rFonts w:ascii="Garamond" w:hAnsi="Garamond"/>
          <w:b/>
          <w:bCs/>
          <w:color w:val="000000" w:themeColor="text1"/>
        </w:rPr>
        <w:t>Seno Sudarmono Hadi</w:t>
      </w:r>
      <w:r>
        <w:rPr>
          <w:rFonts w:ascii="Garamond" w:hAnsi="Garamond"/>
          <w:b/>
          <w:bCs/>
          <w:color w:val="000000" w:themeColor="text1"/>
          <w:vertAlign w:val="superscript"/>
        </w:rPr>
        <w:t>1*</w:t>
      </w:r>
      <w:r w:rsidR="009723F7" w:rsidRPr="009723F7">
        <w:rPr>
          <w:rFonts w:ascii="Garamond" w:hAnsi="Garamond"/>
          <w:b/>
          <w:bCs/>
          <w:color w:val="000000" w:themeColor="text1"/>
        </w:rPr>
        <w:t xml:space="preserve">, </w:t>
      </w:r>
      <w:r w:rsidRPr="002A5DF6">
        <w:rPr>
          <w:rFonts w:ascii="Garamond" w:hAnsi="Garamond"/>
          <w:b/>
          <w:bCs/>
          <w:color w:val="000000" w:themeColor="text1"/>
        </w:rPr>
        <w:t xml:space="preserve">Sri </w:t>
      </w:r>
      <w:r>
        <w:rPr>
          <w:rFonts w:ascii="Garamond" w:hAnsi="Garamond"/>
          <w:b/>
          <w:bCs/>
          <w:color w:val="000000" w:themeColor="text1"/>
        </w:rPr>
        <w:t>W</w:t>
      </w:r>
      <w:r w:rsidRPr="002A5DF6">
        <w:rPr>
          <w:rFonts w:ascii="Garamond" w:hAnsi="Garamond"/>
          <w:b/>
          <w:bCs/>
          <w:color w:val="000000" w:themeColor="text1"/>
        </w:rPr>
        <w:t>idyastuti</w:t>
      </w:r>
      <w:r>
        <w:rPr>
          <w:rFonts w:ascii="Garamond" w:hAnsi="Garamond"/>
          <w:b/>
          <w:bCs/>
          <w:color w:val="000000" w:themeColor="text1"/>
          <w:vertAlign w:val="superscript"/>
        </w:rPr>
        <w:t>2</w:t>
      </w:r>
      <w:r w:rsidR="009723F7" w:rsidRPr="00AF435B">
        <w:rPr>
          <w:noProof/>
          <w:lang w:val="en-US" w:eastAsia="ko-KR"/>
        </w:rPr>
        <w:drawing>
          <wp:inline distT="0" distB="0" distL="0" distR="0" wp14:anchorId="13EDB189" wp14:editId="7DD46257">
            <wp:extent cx="107950" cy="107950"/>
            <wp:effectExtent l="0" t="0" r="6350" b="6350"/>
            <wp:docPr id="1324370865" name="图片 144999692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70865" name="图片 1449996929">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9723F7" w:rsidRPr="009723F7">
        <w:rPr>
          <w:rFonts w:ascii="Garamond" w:hAnsi="Garamond"/>
          <w:b/>
          <w:bCs/>
          <w:color w:val="000000" w:themeColor="text1"/>
        </w:rPr>
        <w:t xml:space="preserve">, </w:t>
      </w:r>
      <w:r w:rsidRPr="002A5DF6">
        <w:rPr>
          <w:rFonts w:ascii="Garamond" w:hAnsi="Garamond"/>
          <w:b/>
          <w:bCs/>
          <w:color w:val="000000" w:themeColor="text1"/>
        </w:rPr>
        <w:t>Darmansah</w:t>
      </w:r>
      <w:r>
        <w:rPr>
          <w:rFonts w:ascii="Garamond" w:hAnsi="Garamond"/>
          <w:b/>
          <w:bCs/>
          <w:color w:val="000000" w:themeColor="text1"/>
          <w:vertAlign w:val="superscript"/>
        </w:rPr>
        <w:t>2</w:t>
      </w:r>
    </w:p>
    <w:p w14:paraId="333938C6" w14:textId="040B2F7C" w:rsidR="00DD1F92" w:rsidRPr="00F115A9" w:rsidRDefault="00DD1F92" w:rsidP="0054120A">
      <w:pPr>
        <w:pStyle w:val="ListParagraph"/>
        <w:ind w:left="0" w:right="107"/>
        <w:jc w:val="center"/>
        <w:rPr>
          <w:rFonts w:ascii="Garamond" w:hAnsi="Garamond"/>
          <w:b/>
        </w:rPr>
      </w:pPr>
    </w:p>
    <w:p w14:paraId="3BAD07C6" w14:textId="0D332C88" w:rsidR="00E763FE" w:rsidRDefault="002A5DF6" w:rsidP="0054120A">
      <w:pPr>
        <w:pStyle w:val="ListParagraph"/>
        <w:ind w:left="0" w:right="107"/>
        <w:jc w:val="center"/>
        <w:rPr>
          <w:rFonts w:ascii="Garamond" w:hAnsi="Garamond"/>
        </w:rPr>
      </w:pPr>
      <w:r>
        <w:rPr>
          <w:rFonts w:ascii="Garamond" w:hAnsi="Garamond"/>
          <w:vertAlign w:val="superscript"/>
        </w:rPr>
        <w:t>1</w:t>
      </w:r>
      <w:r w:rsidRPr="002A5DF6">
        <w:rPr>
          <w:rFonts w:ascii="Garamond" w:hAnsi="Garamond"/>
        </w:rPr>
        <w:t xml:space="preserve">Doctoral Student in Economics, Faculty of Economics and Business, Universitas Pancasila, Jalan Raya </w:t>
      </w:r>
      <w:proofErr w:type="spellStart"/>
      <w:r w:rsidRPr="002A5DF6">
        <w:rPr>
          <w:rFonts w:ascii="Garamond" w:hAnsi="Garamond"/>
        </w:rPr>
        <w:t>Lenteng</w:t>
      </w:r>
      <w:proofErr w:type="spellEnd"/>
      <w:r w:rsidRPr="002A5DF6">
        <w:rPr>
          <w:rFonts w:ascii="Garamond" w:hAnsi="Garamond"/>
        </w:rPr>
        <w:t xml:space="preserve"> Agung No.56-80, </w:t>
      </w:r>
      <w:proofErr w:type="spellStart"/>
      <w:r w:rsidRPr="002A5DF6">
        <w:rPr>
          <w:rFonts w:ascii="Garamond" w:hAnsi="Garamond"/>
        </w:rPr>
        <w:t>Srengseng</w:t>
      </w:r>
      <w:proofErr w:type="spellEnd"/>
      <w:r w:rsidRPr="002A5DF6">
        <w:rPr>
          <w:rFonts w:ascii="Garamond" w:hAnsi="Garamond"/>
        </w:rPr>
        <w:t xml:space="preserve"> Sawah, </w:t>
      </w:r>
      <w:proofErr w:type="spellStart"/>
      <w:r w:rsidRPr="002A5DF6">
        <w:rPr>
          <w:rFonts w:ascii="Garamond" w:hAnsi="Garamond"/>
        </w:rPr>
        <w:t>Jagakarsa</w:t>
      </w:r>
      <w:proofErr w:type="spellEnd"/>
      <w:r w:rsidRPr="002A5DF6">
        <w:rPr>
          <w:rFonts w:ascii="Garamond" w:hAnsi="Garamond"/>
        </w:rPr>
        <w:t>, South Jakarta 12640, Indonesia</w:t>
      </w:r>
    </w:p>
    <w:p w14:paraId="790024F2" w14:textId="7F4009D6" w:rsidR="002A5DF6" w:rsidRPr="002A5DF6" w:rsidRDefault="002A5DF6" w:rsidP="0054120A">
      <w:pPr>
        <w:pStyle w:val="ListParagraph"/>
        <w:ind w:left="0" w:right="107"/>
        <w:jc w:val="center"/>
        <w:rPr>
          <w:rFonts w:ascii="Garamond" w:hAnsi="Garamond"/>
        </w:rPr>
      </w:pPr>
      <w:r>
        <w:rPr>
          <w:rFonts w:ascii="Garamond" w:hAnsi="Garamond"/>
          <w:vertAlign w:val="superscript"/>
        </w:rPr>
        <w:t>2</w:t>
      </w:r>
      <w:r w:rsidRPr="002A5DF6">
        <w:rPr>
          <w:rFonts w:ascii="Garamond" w:hAnsi="Garamond"/>
        </w:rPr>
        <w:t xml:space="preserve">Lecturer in the Doctoral Economics Program, Faculty of Economics and Business, Universitas Pancasila, Jalan Raya </w:t>
      </w:r>
      <w:proofErr w:type="spellStart"/>
      <w:r w:rsidRPr="002A5DF6">
        <w:rPr>
          <w:rFonts w:ascii="Garamond" w:hAnsi="Garamond"/>
        </w:rPr>
        <w:t>Lenteng</w:t>
      </w:r>
      <w:proofErr w:type="spellEnd"/>
      <w:r w:rsidRPr="002A5DF6">
        <w:rPr>
          <w:rFonts w:ascii="Garamond" w:hAnsi="Garamond"/>
        </w:rPr>
        <w:t xml:space="preserve"> Agung No.56-80, </w:t>
      </w:r>
      <w:proofErr w:type="spellStart"/>
      <w:r w:rsidRPr="002A5DF6">
        <w:rPr>
          <w:rFonts w:ascii="Garamond" w:hAnsi="Garamond"/>
        </w:rPr>
        <w:t>Srengseng</w:t>
      </w:r>
      <w:proofErr w:type="spellEnd"/>
      <w:r w:rsidRPr="002A5DF6">
        <w:rPr>
          <w:rFonts w:ascii="Garamond" w:hAnsi="Garamond"/>
        </w:rPr>
        <w:t xml:space="preserve"> Sawah, </w:t>
      </w:r>
      <w:proofErr w:type="spellStart"/>
      <w:r w:rsidRPr="002A5DF6">
        <w:rPr>
          <w:rFonts w:ascii="Garamond" w:hAnsi="Garamond"/>
        </w:rPr>
        <w:t>Jagakarsa</w:t>
      </w:r>
      <w:proofErr w:type="spellEnd"/>
      <w:r w:rsidRPr="002A5DF6">
        <w:rPr>
          <w:rFonts w:ascii="Garamond" w:hAnsi="Garamond"/>
        </w:rPr>
        <w:t>, South Jakarta 12640, Indonesia</w:t>
      </w:r>
    </w:p>
    <w:p w14:paraId="1530831C" w14:textId="08BAD217" w:rsidR="00611CAA" w:rsidRDefault="00323B01" w:rsidP="0054120A">
      <w:pPr>
        <w:shd w:val="clear" w:color="auto" w:fill="FFFFFF"/>
        <w:contextualSpacing/>
        <w:jc w:val="center"/>
        <w:outlineLvl w:val="2"/>
        <w:rPr>
          <w:rFonts w:ascii="Garamond" w:hAnsi="Garamond"/>
          <w:i/>
          <w:color w:val="000000" w:themeColor="text1"/>
        </w:rPr>
      </w:pPr>
      <w:r w:rsidRPr="000A725F">
        <w:rPr>
          <w:rFonts w:ascii="Garamond" w:hAnsi="Garamond"/>
          <w:i/>
          <w:color w:val="000000" w:themeColor="text1"/>
        </w:rPr>
        <w:t xml:space="preserve">e-mail: </w:t>
      </w:r>
      <w:r w:rsidR="002A5DF6">
        <w:rPr>
          <w:rFonts w:ascii="Garamond" w:hAnsi="Garamond"/>
          <w:i/>
          <w:color w:val="000000" w:themeColor="text1"/>
        </w:rPr>
        <w:t>seno@privietlab.org</w:t>
      </w:r>
    </w:p>
    <w:p w14:paraId="715439D7" w14:textId="77777777" w:rsidR="00E763FE" w:rsidRDefault="00E763FE" w:rsidP="0054120A">
      <w:pPr>
        <w:shd w:val="clear" w:color="auto" w:fill="FFFFFF"/>
        <w:contextualSpacing/>
        <w:jc w:val="center"/>
        <w:outlineLvl w:val="2"/>
        <w:rPr>
          <w:rFonts w:ascii="Garamond" w:hAnsi="Garamond"/>
          <w:i/>
          <w:color w:val="000000" w:themeColor="text1"/>
        </w:rPr>
      </w:pPr>
    </w:p>
    <w:p w14:paraId="662CC0FA" w14:textId="1B3EC4D1" w:rsidR="00B60DEE" w:rsidRPr="00E22381" w:rsidRDefault="00B60DEE" w:rsidP="00B60DEE">
      <w:pPr>
        <w:pStyle w:val="ListParagraph"/>
        <w:ind w:left="0" w:right="107"/>
        <w:jc w:val="right"/>
        <w:rPr>
          <w:rFonts w:ascii="Garamond" w:hAnsi="Garamond"/>
          <w:i/>
          <w:color w:val="000000" w:themeColor="text1"/>
        </w:rPr>
      </w:pPr>
      <w:r w:rsidRPr="00E22381">
        <w:rPr>
          <w:rFonts w:ascii="Garamond" w:hAnsi="Garamond"/>
          <w:i/>
          <w:color w:val="000000" w:themeColor="text1"/>
        </w:rPr>
        <w:t xml:space="preserve">Received </w:t>
      </w:r>
      <w:r w:rsidR="009723F7">
        <w:rPr>
          <w:rFonts w:ascii="Garamond" w:hAnsi="Garamond"/>
          <w:i/>
          <w:color w:val="000000" w:themeColor="text1"/>
        </w:rPr>
        <w:t>1</w:t>
      </w:r>
      <w:r w:rsidR="0082224F">
        <w:rPr>
          <w:rFonts w:ascii="Garamond" w:hAnsi="Garamond"/>
          <w:i/>
          <w:color w:val="000000" w:themeColor="text1"/>
        </w:rPr>
        <w:t>9</w:t>
      </w:r>
      <w:r w:rsidRPr="00E22381">
        <w:rPr>
          <w:rFonts w:ascii="Garamond" w:hAnsi="Garamond"/>
          <w:i/>
          <w:color w:val="000000" w:themeColor="text1"/>
        </w:rPr>
        <w:t xml:space="preserve"> </w:t>
      </w:r>
      <w:r w:rsidR="008053EA">
        <w:rPr>
          <w:rFonts w:ascii="Garamond" w:hAnsi="Garamond"/>
          <w:i/>
          <w:color w:val="000000" w:themeColor="text1"/>
        </w:rPr>
        <w:t>February</w:t>
      </w:r>
      <w:r>
        <w:rPr>
          <w:rFonts w:ascii="Garamond" w:hAnsi="Garamond"/>
          <w:i/>
          <w:color w:val="000000" w:themeColor="text1"/>
        </w:rPr>
        <w:t xml:space="preserve"> </w:t>
      </w:r>
      <w:r w:rsidRPr="00E22381">
        <w:rPr>
          <w:rFonts w:ascii="Garamond" w:hAnsi="Garamond"/>
          <w:i/>
          <w:color w:val="000000" w:themeColor="text1"/>
        </w:rPr>
        <w:t>202</w:t>
      </w:r>
      <w:r w:rsidR="008053EA">
        <w:rPr>
          <w:rFonts w:ascii="Garamond" w:hAnsi="Garamond"/>
          <w:i/>
          <w:color w:val="000000" w:themeColor="text1"/>
        </w:rPr>
        <w:t>5</w:t>
      </w:r>
    </w:p>
    <w:p w14:paraId="5DF42EEE" w14:textId="6ED0B42C" w:rsidR="00B60DEE" w:rsidRPr="00E22381" w:rsidRDefault="00B60DEE" w:rsidP="00B60DEE">
      <w:pPr>
        <w:pStyle w:val="ListParagraph"/>
        <w:ind w:left="0" w:right="107"/>
        <w:jc w:val="right"/>
        <w:rPr>
          <w:rFonts w:ascii="Garamond" w:hAnsi="Garamond"/>
          <w:i/>
          <w:color w:val="000000" w:themeColor="text1"/>
        </w:rPr>
      </w:pPr>
      <w:r w:rsidRPr="00E22381">
        <w:rPr>
          <w:rFonts w:ascii="Garamond" w:hAnsi="Garamond"/>
          <w:i/>
          <w:color w:val="000000" w:themeColor="text1"/>
        </w:rPr>
        <w:t xml:space="preserve">Revised </w:t>
      </w:r>
      <w:r w:rsidR="0082224F">
        <w:rPr>
          <w:rFonts w:ascii="Garamond" w:hAnsi="Garamond"/>
          <w:i/>
          <w:color w:val="000000" w:themeColor="text1"/>
        </w:rPr>
        <w:t>20</w:t>
      </w:r>
      <w:r w:rsidRPr="00E22381">
        <w:rPr>
          <w:rFonts w:ascii="Garamond" w:hAnsi="Garamond"/>
          <w:i/>
          <w:color w:val="000000" w:themeColor="text1"/>
        </w:rPr>
        <w:t xml:space="preserve"> </w:t>
      </w:r>
      <w:r w:rsidR="008053EA">
        <w:rPr>
          <w:rFonts w:ascii="Garamond" w:hAnsi="Garamond"/>
          <w:i/>
          <w:color w:val="000000" w:themeColor="text1"/>
        </w:rPr>
        <w:t>May</w:t>
      </w:r>
      <w:r>
        <w:rPr>
          <w:rFonts w:ascii="Garamond" w:hAnsi="Garamond"/>
          <w:i/>
          <w:color w:val="000000" w:themeColor="text1"/>
        </w:rPr>
        <w:t xml:space="preserve"> </w:t>
      </w:r>
      <w:r w:rsidRPr="00E22381">
        <w:rPr>
          <w:rFonts w:ascii="Garamond" w:hAnsi="Garamond"/>
          <w:i/>
          <w:color w:val="000000" w:themeColor="text1"/>
        </w:rPr>
        <w:t>202</w:t>
      </w:r>
      <w:r>
        <w:rPr>
          <w:rFonts w:ascii="Garamond" w:hAnsi="Garamond"/>
          <w:i/>
          <w:color w:val="000000" w:themeColor="text1"/>
        </w:rPr>
        <w:t>5</w:t>
      </w:r>
    </w:p>
    <w:p w14:paraId="7BB940D1" w14:textId="127118D9" w:rsidR="00B60DEE" w:rsidRDefault="00B60DEE" w:rsidP="00B60DEE">
      <w:pPr>
        <w:pStyle w:val="ListParagraph"/>
        <w:ind w:left="0" w:right="107"/>
        <w:jc w:val="right"/>
        <w:rPr>
          <w:rFonts w:ascii="Garamond" w:hAnsi="Garamond"/>
          <w:i/>
          <w:color w:val="000000" w:themeColor="text1"/>
        </w:rPr>
      </w:pPr>
      <w:r w:rsidRPr="00E22381">
        <w:rPr>
          <w:rFonts w:ascii="Garamond" w:hAnsi="Garamond"/>
          <w:i/>
          <w:color w:val="000000" w:themeColor="text1"/>
        </w:rPr>
        <w:t xml:space="preserve">Accepted </w:t>
      </w:r>
      <w:r w:rsidR="0082224F">
        <w:rPr>
          <w:rFonts w:ascii="Garamond" w:hAnsi="Garamond"/>
          <w:i/>
          <w:color w:val="000000" w:themeColor="text1"/>
        </w:rPr>
        <w:t>30</w:t>
      </w:r>
      <w:r w:rsidR="008053EA">
        <w:rPr>
          <w:rFonts w:ascii="Garamond" w:hAnsi="Garamond"/>
          <w:i/>
          <w:color w:val="000000" w:themeColor="text1"/>
        </w:rPr>
        <w:t xml:space="preserve"> June</w:t>
      </w:r>
      <w:r w:rsidRPr="00E22381">
        <w:rPr>
          <w:rFonts w:ascii="Garamond" w:hAnsi="Garamond"/>
          <w:i/>
          <w:color w:val="000000" w:themeColor="text1"/>
        </w:rPr>
        <w:t xml:space="preserve"> 202</w:t>
      </w:r>
      <w:r>
        <w:rPr>
          <w:rFonts w:ascii="Garamond" w:hAnsi="Garamond"/>
          <w:i/>
          <w:color w:val="000000" w:themeColor="text1"/>
        </w:rPr>
        <w:t>5</w:t>
      </w:r>
    </w:p>
    <w:p w14:paraId="4350B939" w14:textId="77777777" w:rsidR="00E763FE" w:rsidRPr="000A725F" w:rsidRDefault="00E763FE" w:rsidP="0054120A">
      <w:pPr>
        <w:shd w:val="clear" w:color="auto" w:fill="FFFFFF"/>
        <w:contextualSpacing/>
        <w:jc w:val="center"/>
        <w:outlineLvl w:val="2"/>
        <w:rPr>
          <w:rFonts w:ascii="Garamond" w:hAnsi="Garamond"/>
          <w:bCs/>
          <w:i/>
          <w:color w:val="000000" w:themeColor="text1"/>
          <w:spacing w:val="3"/>
        </w:rPr>
      </w:pPr>
    </w:p>
    <w:p w14:paraId="01228CFC" w14:textId="292DE02E" w:rsidR="00297C28" w:rsidRPr="000A725F" w:rsidRDefault="00297C28" w:rsidP="00B60DEE">
      <w:pPr>
        <w:pStyle w:val="ListParagraph"/>
        <w:ind w:left="0" w:right="107"/>
        <w:rPr>
          <w:rFonts w:ascii="Garamond" w:hAnsi="Garamond"/>
          <w:i/>
        </w:rPr>
      </w:pPr>
    </w:p>
    <w:p w14:paraId="13ACFAE3" w14:textId="22B1D11A" w:rsidR="000A725F" w:rsidRDefault="000A725F" w:rsidP="0054120A">
      <w:pPr>
        <w:spacing w:after="160"/>
        <w:contextualSpacing/>
        <w:jc w:val="center"/>
        <w:rPr>
          <w:rFonts w:ascii="Garamond" w:hAnsi="Garamond"/>
          <w:b/>
          <w:bCs/>
        </w:rPr>
      </w:pPr>
      <w:r w:rsidRPr="004C06AE">
        <w:rPr>
          <w:rFonts w:ascii="Garamond" w:hAnsi="Garamond"/>
          <w:b/>
          <w:bCs/>
        </w:rPr>
        <w:t>ABSTRACT</w:t>
      </w:r>
    </w:p>
    <w:p w14:paraId="24A196DB" w14:textId="5B2881BB" w:rsidR="00B315F0" w:rsidRPr="004C06AE" w:rsidRDefault="00B315F0" w:rsidP="0054120A">
      <w:pPr>
        <w:spacing w:after="160"/>
        <w:contextualSpacing/>
        <w:jc w:val="center"/>
        <w:rPr>
          <w:rFonts w:ascii="Garamond" w:hAnsi="Garamond"/>
        </w:rPr>
      </w:pPr>
    </w:p>
    <w:p w14:paraId="6E218FA2" w14:textId="1EA5ACC2" w:rsidR="000A725F" w:rsidRPr="00E763FE" w:rsidRDefault="002A5DF6" w:rsidP="009723F7">
      <w:pPr>
        <w:jc w:val="both"/>
        <w:rPr>
          <w:rFonts w:ascii="Garamond" w:hAnsi="Garamond"/>
        </w:rPr>
      </w:pPr>
      <w:r w:rsidRPr="002A5DF6">
        <w:rPr>
          <w:rFonts w:ascii="Garamond" w:hAnsi="Garamond"/>
        </w:rPr>
        <w:t xml:space="preserve">This study conducts a systematic literature review to synthesize and critically evaluate empirical evidence on the determinants of consumer loyalty in Indonesia’s fast-food industry. Drawing on 31 peer-reviewed studies published between 2010 and 2025, the review explores the roles of service quality, price fairness, consumer satisfaction, and word-of-mouth (WOM) in shaping loyalty outcomes. Following PRISMA guidelines, relevant literature was systematically identified, screened, and appraised across major academic databases, with inclusion criteria focused on empirical research conducted in the Indonesian fast-food context. The synthesis confirms that service quality and satisfaction are consistently strong predictors of loyalty, while the effects of price fairness are more context-dependent and often mediated through value perceptions and WOM. The review identifies critical research gaps, including the insufficient integration of digital service attributes into service quality frameworks, limited </w:t>
      </w:r>
      <w:proofErr w:type="spellStart"/>
      <w:r w:rsidRPr="002A5DF6">
        <w:rPr>
          <w:rFonts w:ascii="Garamond" w:hAnsi="Garamond"/>
        </w:rPr>
        <w:t>modeling</w:t>
      </w:r>
      <w:proofErr w:type="spellEnd"/>
      <w:r w:rsidRPr="002A5DF6">
        <w:rPr>
          <w:rFonts w:ascii="Garamond" w:hAnsi="Garamond"/>
        </w:rPr>
        <w:t xml:space="preserve"> of WOM as a mediator and moderator, and the lack of comparative analyses between local and international brands. Future research directions are proposed, emphasizing the need for omnichannel conceptualizations, longitudinal and experimental designs, and greater attention to e-WOM and platform-mediated pricing dynamics. The findings offer actionable insights for managers and marketers in Indonesia’s fast-food sector to enhance customer engagement strategies in an increasingly competitive and digitalized market.</w:t>
      </w:r>
    </w:p>
    <w:p w14:paraId="3653D209" w14:textId="68B7E0DE" w:rsidR="00B315F0" w:rsidRPr="004C06AE" w:rsidRDefault="00B315F0" w:rsidP="0054120A">
      <w:pPr>
        <w:spacing w:after="160"/>
        <w:contextualSpacing/>
        <w:jc w:val="both"/>
        <w:rPr>
          <w:rFonts w:ascii="Garamond" w:hAnsi="Garamond"/>
        </w:rPr>
      </w:pPr>
    </w:p>
    <w:p w14:paraId="18902A66" w14:textId="00CE7AF7" w:rsidR="000A725F" w:rsidRPr="002A5DF6" w:rsidRDefault="0036436C" w:rsidP="002A5DF6">
      <w:pPr>
        <w:contextualSpacing/>
        <w:jc w:val="both"/>
        <w:rPr>
          <w:rFonts w:ascii="Garamond" w:hAnsi="Garamond"/>
        </w:rPr>
      </w:pPr>
      <w:r w:rsidRPr="002A5DF6">
        <w:rPr>
          <w:rFonts w:ascii="Garamond" w:hAnsi="Garamond"/>
          <w:b/>
          <w:bCs/>
        </w:rPr>
        <w:t>Keywords:</w:t>
      </w:r>
      <w:r w:rsidRPr="002A5DF6">
        <w:rPr>
          <w:rFonts w:ascii="Garamond" w:hAnsi="Garamond"/>
        </w:rPr>
        <w:t xml:space="preserve"> </w:t>
      </w:r>
      <w:r w:rsidR="002A5DF6" w:rsidRPr="002A5DF6">
        <w:rPr>
          <w:rFonts w:ascii="Garamond" w:hAnsi="Garamond"/>
        </w:rPr>
        <w:t>Systematic literature review</w:t>
      </w:r>
      <w:r w:rsidR="002A5DF6" w:rsidRPr="002A5DF6">
        <w:rPr>
          <w:rFonts w:ascii="Garamond" w:hAnsi="Garamond"/>
        </w:rPr>
        <w:t xml:space="preserve">, </w:t>
      </w:r>
      <w:r w:rsidR="002A5DF6" w:rsidRPr="002A5DF6">
        <w:rPr>
          <w:rFonts w:ascii="Garamond" w:hAnsi="Garamond"/>
        </w:rPr>
        <w:t>Consumer loyalty</w:t>
      </w:r>
      <w:r w:rsidR="002A5DF6" w:rsidRPr="002A5DF6">
        <w:rPr>
          <w:rFonts w:ascii="Garamond" w:hAnsi="Garamond"/>
        </w:rPr>
        <w:t xml:space="preserve">, </w:t>
      </w:r>
      <w:r w:rsidR="002A5DF6" w:rsidRPr="002A5DF6">
        <w:rPr>
          <w:rFonts w:ascii="Garamond" w:hAnsi="Garamond"/>
        </w:rPr>
        <w:t>Service quality</w:t>
      </w:r>
      <w:r w:rsidR="002A5DF6" w:rsidRPr="002A5DF6">
        <w:rPr>
          <w:rFonts w:ascii="Garamond" w:hAnsi="Garamond"/>
        </w:rPr>
        <w:t xml:space="preserve">, </w:t>
      </w:r>
      <w:r w:rsidR="002A5DF6" w:rsidRPr="002A5DF6">
        <w:rPr>
          <w:rFonts w:ascii="Garamond" w:hAnsi="Garamond"/>
        </w:rPr>
        <w:t>Price fairness</w:t>
      </w:r>
      <w:r w:rsidR="002A5DF6" w:rsidRPr="002A5DF6">
        <w:rPr>
          <w:rFonts w:ascii="Garamond" w:hAnsi="Garamond"/>
        </w:rPr>
        <w:t xml:space="preserve">, </w:t>
      </w:r>
      <w:r w:rsidR="002A5DF6" w:rsidRPr="002A5DF6">
        <w:rPr>
          <w:rFonts w:ascii="Garamond" w:hAnsi="Garamond"/>
        </w:rPr>
        <w:t>Word-of-mouth (WOM)</w:t>
      </w:r>
      <w:r w:rsidR="002A5DF6" w:rsidRPr="002A5DF6">
        <w:rPr>
          <w:rFonts w:ascii="Garamond" w:hAnsi="Garamond"/>
        </w:rPr>
        <w:t xml:space="preserve">, </w:t>
      </w:r>
      <w:r w:rsidR="002A5DF6" w:rsidRPr="002A5DF6">
        <w:rPr>
          <w:rFonts w:ascii="Garamond" w:hAnsi="Garamond"/>
        </w:rPr>
        <w:t>Fast-food industry</w:t>
      </w:r>
      <w:r w:rsidR="009723F7" w:rsidRPr="002A5DF6">
        <w:rPr>
          <w:rFonts w:ascii="Garamond" w:hAnsi="Garamond"/>
        </w:rPr>
        <w:t>.</w:t>
      </w:r>
    </w:p>
    <w:p w14:paraId="126A1B5B" w14:textId="4BFD4AC2" w:rsidR="00C03054" w:rsidRDefault="00CC094F" w:rsidP="00E034D8">
      <w:pPr>
        <w:contextualSpacing/>
        <w:jc w:val="both"/>
        <w:rPr>
          <w:rFonts w:ascii="Garamond" w:hAnsi="Garamond"/>
        </w:rPr>
      </w:pPr>
      <w:r>
        <w:rPr>
          <w:rFonts w:ascii="Garamond" w:hAnsi="Garamond"/>
          <w:i/>
          <w:iCs/>
          <w:noProof/>
        </w:rPr>
        <w:drawing>
          <wp:anchor distT="0" distB="0" distL="114300" distR="114300" simplePos="0" relativeHeight="251664384" behindDoc="0" locked="0" layoutInCell="1" allowOverlap="1" wp14:anchorId="73ED9317" wp14:editId="60F3B930">
            <wp:simplePos x="0" y="0"/>
            <wp:positionH relativeFrom="column">
              <wp:posOffset>2447233</wp:posOffset>
            </wp:positionH>
            <wp:positionV relativeFrom="paragraph">
              <wp:posOffset>172720</wp:posOffset>
            </wp:positionV>
            <wp:extent cx="1377950" cy="311150"/>
            <wp:effectExtent l="0" t="0" r="0" b="0"/>
            <wp:wrapNone/>
            <wp:docPr id="1103204555" name="Picture 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04555" name="Picture 6" descr="A blue text on a black background&#10;&#10;Description automatically generated"/>
                    <pic:cNvPicPr/>
                  </pic:nvPicPr>
                  <pic:blipFill>
                    <a:blip r:embed="rId11"/>
                    <a:stretch>
                      <a:fillRect/>
                    </a:stretch>
                  </pic:blipFill>
                  <pic:spPr>
                    <a:xfrm>
                      <a:off x="0" y="0"/>
                      <a:ext cx="1377950" cy="311150"/>
                    </a:xfrm>
                    <a:prstGeom prst="rect">
                      <a:avLst/>
                    </a:prstGeom>
                  </pic:spPr>
                </pic:pic>
              </a:graphicData>
            </a:graphic>
          </wp:anchor>
        </w:drawing>
      </w:r>
    </w:p>
    <w:p w14:paraId="4E89555C" w14:textId="219E2BA6" w:rsidR="00C03054" w:rsidRDefault="00C03054" w:rsidP="00E034D8">
      <w:pPr>
        <w:contextualSpacing/>
        <w:jc w:val="both"/>
        <w:rPr>
          <w:rFonts w:ascii="Garamond" w:hAnsi="Garamond"/>
        </w:rPr>
      </w:pPr>
    </w:p>
    <w:p w14:paraId="634B1053" w14:textId="77777777" w:rsidR="00C03054" w:rsidRDefault="00C03054" w:rsidP="00E034D8">
      <w:pPr>
        <w:contextualSpacing/>
        <w:jc w:val="both"/>
        <w:rPr>
          <w:rFonts w:ascii="Garamond" w:hAnsi="Garamond"/>
        </w:rPr>
      </w:pPr>
    </w:p>
    <w:p w14:paraId="08D1EA97" w14:textId="77777777" w:rsidR="00C03054" w:rsidRDefault="00C03054" w:rsidP="00E034D8">
      <w:pPr>
        <w:contextualSpacing/>
        <w:jc w:val="both"/>
        <w:rPr>
          <w:rFonts w:ascii="Garamond" w:hAnsi="Garamond"/>
        </w:rPr>
      </w:pPr>
    </w:p>
    <w:p w14:paraId="32CBA31C" w14:textId="77777777" w:rsidR="00C03054" w:rsidRDefault="00C03054" w:rsidP="00E034D8">
      <w:pPr>
        <w:contextualSpacing/>
        <w:jc w:val="both"/>
        <w:rPr>
          <w:rFonts w:ascii="Garamond" w:hAnsi="Garamond"/>
        </w:rPr>
      </w:pPr>
    </w:p>
    <w:p w14:paraId="4F1B11EF" w14:textId="77777777" w:rsidR="00C03054" w:rsidRDefault="00C03054" w:rsidP="00E034D8">
      <w:pPr>
        <w:contextualSpacing/>
        <w:jc w:val="both"/>
        <w:rPr>
          <w:rFonts w:ascii="Garamond" w:hAnsi="Garamond"/>
        </w:rPr>
      </w:pPr>
    </w:p>
    <w:p w14:paraId="7ADAB211" w14:textId="77777777" w:rsidR="00C03054" w:rsidRDefault="00C03054" w:rsidP="00E034D8">
      <w:pPr>
        <w:contextualSpacing/>
        <w:jc w:val="both"/>
        <w:rPr>
          <w:rFonts w:ascii="Garamond" w:hAnsi="Garamond"/>
        </w:rPr>
      </w:pPr>
    </w:p>
    <w:p w14:paraId="5AD30255" w14:textId="77777777" w:rsidR="00F115A9" w:rsidRDefault="00F115A9" w:rsidP="0054120A">
      <w:pPr>
        <w:contextualSpacing/>
        <w:jc w:val="both"/>
        <w:rPr>
          <w:rFonts w:ascii="Garamond" w:hAnsi="Garamond"/>
        </w:rPr>
      </w:pPr>
    </w:p>
    <w:p w14:paraId="765D74C7" w14:textId="20AA65FE" w:rsidR="00601FD2" w:rsidRPr="00065CD8" w:rsidRDefault="00601FD2" w:rsidP="00601FD2">
      <w:pPr>
        <w:pStyle w:val="ListParagraph"/>
        <w:numPr>
          <w:ilvl w:val="0"/>
          <w:numId w:val="79"/>
        </w:numPr>
        <w:jc w:val="both"/>
        <w:rPr>
          <w:rFonts w:ascii="Garamond" w:hAnsi="Garamond"/>
        </w:rPr>
      </w:pPr>
      <w:r w:rsidRPr="00065CD8">
        <w:rPr>
          <w:rFonts w:ascii="Garamond" w:hAnsi="Garamond"/>
          <w:b/>
          <w:bCs/>
        </w:rPr>
        <w:lastRenderedPageBreak/>
        <w:t>INTRODUCTION</w:t>
      </w:r>
    </w:p>
    <w:p w14:paraId="533A17AC" w14:textId="77777777" w:rsidR="00065CD8" w:rsidRDefault="00065CD8" w:rsidP="00065CD8">
      <w:pPr>
        <w:jc w:val="both"/>
        <w:rPr>
          <w:rFonts w:ascii="Garamond" w:hAnsi="Garamond"/>
        </w:rPr>
      </w:pPr>
    </w:p>
    <w:p w14:paraId="71752677" w14:textId="4A16CF17" w:rsidR="00791A0B" w:rsidRPr="00791A0B" w:rsidRDefault="00791A0B" w:rsidP="00791A0B">
      <w:pPr>
        <w:ind w:firstLine="567"/>
        <w:jc w:val="both"/>
        <w:rPr>
          <w:rFonts w:ascii="Garamond" w:hAnsi="Garamond"/>
        </w:rPr>
      </w:pPr>
      <w:r w:rsidRPr="00791A0B">
        <w:rPr>
          <w:rFonts w:ascii="Garamond" w:hAnsi="Garamond"/>
        </w:rPr>
        <w:t xml:space="preserve">The fast-food industry has emerged as a focal point of scholarly attention in Indonesia, reflecting broader structural and </w:t>
      </w:r>
      <w:proofErr w:type="spellStart"/>
      <w:r w:rsidRPr="00791A0B">
        <w:rPr>
          <w:rFonts w:ascii="Garamond" w:hAnsi="Garamond"/>
        </w:rPr>
        <w:t>behavioral</w:t>
      </w:r>
      <w:proofErr w:type="spellEnd"/>
      <w:r w:rsidRPr="00791A0B">
        <w:rPr>
          <w:rFonts w:ascii="Garamond" w:hAnsi="Garamond"/>
        </w:rPr>
        <w:t xml:space="preserve"> shifts in one of the world’s largest and most dynamic emerging markets. Indonesia, with its population surpassing 281 million and an urbanization rate of approximately 68%, is undergoing rapid economic transformation driven by rising incomes, demographic change, and digitalization </w:t>
      </w:r>
      <w:r w:rsidRPr="0082224F">
        <w:rPr>
          <w:rFonts w:ascii="Garamond" w:hAnsi="Garamond"/>
          <w:color w:val="4F81BD" w:themeColor="accent1"/>
        </w:rPr>
        <w:t>(</w:t>
      </w:r>
      <w:proofErr w:type="spellStart"/>
      <w:r w:rsidRPr="0082224F">
        <w:rPr>
          <w:rFonts w:ascii="Garamond" w:hAnsi="Garamond"/>
          <w:color w:val="4F81BD" w:themeColor="accent1"/>
        </w:rPr>
        <w:t>Setyaningrum</w:t>
      </w:r>
      <w:proofErr w:type="spellEnd"/>
      <w:r w:rsidRPr="0082224F">
        <w:rPr>
          <w:rFonts w:ascii="Garamond" w:hAnsi="Garamond"/>
          <w:color w:val="4F81BD" w:themeColor="accent1"/>
        </w:rPr>
        <w:t xml:space="preserve"> et al., 2024; </w:t>
      </w:r>
      <w:proofErr w:type="spellStart"/>
      <w:r w:rsidRPr="0082224F">
        <w:rPr>
          <w:rFonts w:ascii="Garamond" w:hAnsi="Garamond"/>
          <w:color w:val="4F81BD" w:themeColor="accent1"/>
        </w:rPr>
        <w:t>Zuhroh</w:t>
      </w:r>
      <w:proofErr w:type="spellEnd"/>
      <w:r w:rsidRPr="0082224F">
        <w:rPr>
          <w:rFonts w:ascii="Garamond" w:hAnsi="Garamond"/>
          <w:color w:val="4F81BD" w:themeColor="accent1"/>
        </w:rPr>
        <w:t xml:space="preserve"> et al., 2025)</w:t>
      </w:r>
      <w:r w:rsidRPr="00791A0B">
        <w:rPr>
          <w:rFonts w:ascii="Garamond" w:hAnsi="Garamond"/>
        </w:rPr>
        <w:t xml:space="preserve">. As urban populations expand, consumer </w:t>
      </w:r>
      <w:proofErr w:type="spellStart"/>
      <w:r w:rsidRPr="00791A0B">
        <w:rPr>
          <w:rFonts w:ascii="Garamond" w:hAnsi="Garamond"/>
        </w:rPr>
        <w:t>behaviors</w:t>
      </w:r>
      <w:proofErr w:type="spellEnd"/>
      <w:r w:rsidRPr="00791A0B">
        <w:rPr>
          <w:rFonts w:ascii="Garamond" w:hAnsi="Garamond"/>
        </w:rPr>
        <w:t xml:space="preserve"> increasingly reflect preferences for convenience, speed, and digitally enabled services </w:t>
      </w:r>
      <w:r w:rsidRPr="0082224F">
        <w:rPr>
          <w:rFonts w:ascii="Garamond" w:hAnsi="Garamond"/>
          <w:color w:val="4F81BD" w:themeColor="accent1"/>
        </w:rPr>
        <w:t>(Fahlevi, 2025)</w:t>
      </w:r>
      <w:r w:rsidRPr="00791A0B">
        <w:rPr>
          <w:rFonts w:ascii="Garamond" w:hAnsi="Garamond"/>
        </w:rPr>
        <w:t xml:space="preserve">. Millennials and Generation Z, as the most prominent urban cohorts, play a decisive role in shaping consumption patterns, particularly in sectors such as food and beverage, where their demand for affordable, efficient, and culturally relevant options continues to grow </w:t>
      </w:r>
      <w:r w:rsidRPr="0082224F">
        <w:rPr>
          <w:rFonts w:ascii="Garamond" w:hAnsi="Garamond"/>
          <w:color w:val="4F81BD" w:themeColor="accent1"/>
        </w:rPr>
        <w:t>(</w:t>
      </w:r>
      <w:proofErr w:type="spellStart"/>
      <w:r w:rsidRPr="0082224F">
        <w:rPr>
          <w:rFonts w:ascii="Garamond" w:hAnsi="Garamond"/>
          <w:color w:val="4F81BD" w:themeColor="accent1"/>
        </w:rPr>
        <w:t>Ardini</w:t>
      </w:r>
      <w:proofErr w:type="spellEnd"/>
      <w:r w:rsidRPr="0082224F">
        <w:rPr>
          <w:rFonts w:ascii="Garamond" w:hAnsi="Garamond"/>
          <w:color w:val="4F81BD" w:themeColor="accent1"/>
        </w:rPr>
        <w:t xml:space="preserve"> et al., 2024; Fahlevi, Hasan, et al., 2023)</w:t>
      </w:r>
      <w:r w:rsidRPr="00791A0B">
        <w:rPr>
          <w:rFonts w:ascii="Garamond" w:hAnsi="Garamond"/>
        </w:rPr>
        <w:t xml:space="preserve">. Within this context, the fast-food segment is both a beneficiary of these trends and a site of intense competition, as global franchises and domestic brands vie for consumer loyalty </w:t>
      </w:r>
      <w:r w:rsidRPr="0082224F">
        <w:rPr>
          <w:rFonts w:ascii="Garamond" w:hAnsi="Garamond"/>
          <w:color w:val="4F81BD" w:themeColor="accent1"/>
        </w:rPr>
        <w:t>(Sahir et al., 2021; Zhuang et al., 2022)</w:t>
      </w:r>
      <w:r w:rsidRPr="00791A0B">
        <w:rPr>
          <w:rFonts w:ascii="Garamond" w:hAnsi="Garamond"/>
        </w:rPr>
        <w:t>.</w:t>
      </w:r>
    </w:p>
    <w:p w14:paraId="7450F292" w14:textId="748F72A8" w:rsidR="00791A0B" w:rsidRPr="00791A0B" w:rsidRDefault="00791A0B" w:rsidP="002A5DF6">
      <w:pPr>
        <w:ind w:firstLine="567"/>
        <w:jc w:val="both"/>
        <w:rPr>
          <w:rFonts w:ascii="Garamond" w:hAnsi="Garamond"/>
        </w:rPr>
      </w:pPr>
      <w:r w:rsidRPr="00791A0B">
        <w:rPr>
          <w:rFonts w:ascii="Garamond" w:hAnsi="Garamond"/>
        </w:rPr>
        <w:t xml:space="preserve">To date, research on Indonesia’s fast-food industry has documented the sector’s expansion, driven by the appeal of globally recognized brands such as McDonald’s and KFC, alongside the resilience of domestic chains such as Solaria and Hoka </w:t>
      </w:r>
      <w:proofErr w:type="spellStart"/>
      <w:r w:rsidRPr="00791A0B">
        <w:rPr>
          <w:rFonts w:ascii="Garamond" w:hAnsi="Garamond"/>
        </w:rPr>
        <w:t>Hoka</w:t>
      </w:r>
      <w:proofErr w:type="spellEnd"/>
      <w:r w:rsidRPr="00791A0B">
        <w:rPr>
          <w:rFonts w:ascii="Garamond" w:hAnsi="Garamond"/>
        </w:rPr>
        <w:t xml:space="preserve"> Bento. Scholars have identified factors such as brand equity, standardized quality, and marketing sophistication as advantages for international brands, whereas domestic players have leveraged local tastes and perceptions of value for money to remain competitive </w:t>
      </w:r>
      <w:r w:rsidRPr="00791A0B">
        <w:rPr>
          <w:rFonts w:ascii="Garamond" w:hAnsi="Garamond"/>
          <w:color w:val="4F81BD" w:themeColor="accent1"/>
        </w:rPr>
        <w:t>(</w:t>
      </w:r>
      <w:proofErr w:type="spellStart"/>
      <w:r w:rsidRPr="00791A0B">
        <w:rPr>
          <w:rFonts w:ascii="Garamond" w:hAnsi="Garamond"/>
          <w:color w:val="4F81BD" w:themeColor="accent1"/>
        </w:rPr>
        <w:t>Husainah</w:t>
      </w:r>
      <w:proofErr w:type="spellEnd"/>
      <w:r w:rsidRPr="00791A0B">
        <w:rPr>
          <w:rFonts w:ascii="Garamond" w:hAnsi="Garamond"/>
          <w:color w:val="4F81BD" w:themeColor="accent1"/>
        </w:rPr>
        <w:t xml:space="preserve"> et al., 2023)</w:t>
      </w:r>
      <w:r w:rsidRPr="00791A0B">
        <w:rPr>
          <w:rFonts w:ascii="Garamond" w:hAnsi="Garamond"/>
        </w:rPr>
        <w:t xml:space="preserve">. However, while empirical studies have addressed specific dimensions of consumer </w:t>
      </w:r>
      <w:proofErr w:type="spellStart"/>
      <w:r w:rsidRPr="00791A0B">
        <w:rPr>
          <w:rFonts w:ascii="Garamond" w:hAnsi="Garamond"/>
        </w:rPr>
        <w:t>behavior</w:t>
      </w:r>
      <w:proofErr w:type="spellEnd"/>
      <w:r w:rsidRPr="00791A0B">
        <w:rPr>
          <w:rFonts w:ascii="Garamond" w:hAnsi="Garamond"/>
        </w:rPr>
        <w:t>, findings remain fragmented, particularly regarding the mechanisms through which service quality and price fairness contribute to loyalty outcomes.</w:t>
      </w:r>
      <w:r w:rsidR="002A5DF6">
        <w:rPr>
          <w:rFonts w:ascii="Garamond" w:hAnsi="Garamond"/>
        </w:rPr>
        <w:t xml:space="preserve"> </w:t>
      </w:r>
      <w:r w:rsidRPr="00791A0B">
        <w:rPr>
          <w:rFonts w:ascii="Garamond" w:hAnsi="Garamond"/>
        </w:rPr>
        <w:t>To clarify and consolidate existing knowledge, this systematic literature review (SLR) synthesizes empirical evidence on the interplay between service quality, price fairness, customer satisfaction, word-of-mouth communication (WOM), and consumer loyalty in Indonesia’s fast-food sector. The SLR methodology adheres to the PRISMA (Preferred Reporting Items for Systematic Reviews and Meta-Analyses) framework, ensuring transparency in article selection, appraisal, and thematic synthesis. Academic databases such as Scopus, Web of Science, and Google Scholar were systematically searched using a predefined set of keywords. Studies were then screened based on relevance, methodological rigor, and alignment with the review’s objectives.</w:t>
      </w:r>
    </w:p>
    <w:p w14:paraId="44ED62E6" w14:textId="61A73778" w:rsidR="00791A0B" w:rsidRPr="00791A0B" w:rsidRDefault="00791A0B" w:rsidP="002A5DF6">
      <w:pPr>
        <w:ind w:firstLine="567"/>
        <w:jc w:val="both"/>
        <w:rPr>
          <w:rFonts w:ascii="Garamond" w:hAnsi="Garamond"/>
        </w:rPr>
      </w:pPr>
      <w:r w:rsidRPr="00791A0B">
        <w:rPr>
          <w:rFonts w:ascii="Garamond" w:hAnsi="Garamond"/>
        </w:rPr>
        <w:t xml:space="preserve">The reviewed literature consistently underscores the critical role of service quality in shaping consumer evaluations, particularly in dimensions such as responsiveness, cleanliness, and reliability, which directly enhance satisfaction and loyalty </w:t>
      </w:r>
      <w:r w:rsidRPr="00791A0B">
        <w:rPr>
          <w:rFonts w:ascii="Garamond" w:hAnsi="Garamond"/>
          <w:color w:val="4F81BD" w:themeColor="accent1"/>
        </w:rPr>
        <w:t>(</w:t>
      </w:r>
      <w:proofErr w:type="spellStart"/>
      <w:r w:rsidRPr="00791A0B">
        <w:rPr>
          <w:rFonts w:ascii="Garamond" w:hAnsi="Garamond"/>
          <w:color w:val="4F81BD" w:themeColor="accent1"/>
        </w:rPr>
        <w:t>Chamhuri</w:t>
      </w:r>
      <w:proofErr w:type="spellEnd"/>
      <w:r w:rsidRPr="00791A0B">
        <w:rPr>
          <w:rFonts w:ascii="Garamond" w:hAnsi="Garamond"/>
          <w:color w:val="4F81BD" w:themeColor="accent1"/>
        </w:rPr>
        <w:t xml:space="preserve"> &amp; Batt, 2015; Konuk, 2019)</w:t>
      </w:r>
      <w:r w:rsidRPr="00791A0B">
        <w:rPr>
          <w:rFonts w:ascii="Garamond" w:hAnsi="Garamond"/>
        </w:rPr>
        <w:t xml:space="preserve">. Similarly, price fairness emerges as a salient factor, though with more equivocal effects. While some studies affirm a positive and direct association between fair pricing and satisfaction, others suggest that its influence is contingent upon perceived value and is mediated by WOM or satisfaction itself </w:t>
      </w:r>
      <w:r w:rsidRPr="00791A0B">
        <w:rPr>
          <w:rFonts w:ascii="Garamond" w:hAnsi="Garamond"/>
          <w:color w:val="4F81BD" w:themeColor="accent1"/>
        </w:rPr>
        <w:t>(</w:t>
      </w:r>
      <w:proofErr w:type="spellStart"/>
      <w:r w:rsidRPr="00791A0B">
        <w:rPr>
          <w:rFonts w:ascii="Garamond" w:hAnsi="Garamond"/>
          <w:color w:val="4F81BD" w:themeColor="accent1"/>
        </w:rPr>
        <w:t>Hanaysha</w:t>
      </w:r>
      <w:proofErr w:type="spellEnd"/>
      <w:r w:rsidRPr="00791A0B">
        <w:rPr>
          <w:rFonts w:ascii="Garamond" w:hAnsi="Garamond"/>
          <w:color w:val="4F81BD" w:themeColor="accent1"/>
        </w:rPr>
        <w:t>, 2016; Zhong &amp; Moon, 2020)</w:t>
      </w:r>
      <w:r w:rsidRPr="00791A0B">
        <w:rPr>
          <w:rFonts w:ascii="Garamond" w:hAnsi="Garamond"/>
        </w:rPr>
        <w:t>. Furthermore, the increasing prevalence of digital food delivery platforms</w:t>
      </w:r>
      <w:r w:rsidR="002A5DF6">
        <w:rPr>
          <w:rFonts w:ascii="Garamond" w:hAnsi="Garamond"/>
        </w:rPr>
        <w:t xml:space="preserve">, </w:t>
      </w:r>
      <w:r w:rsidRPr="00791A0B">
        <w:rPr>
          <w:rFonts w:ascii="Garamond" w:hAnsi="Garamond"/>
        </w:rPr>
        <w:t xml:space="preserve">including </w:t>
      </w:r>
      <w:proofErr w:type="spellStart"/>
      <w:r w:rsidRPr="00791A0B">
        <w:rPr>
          <w:rFonts w:ascii="Garamond" w:hAnsi="Garamond"/>
        </w:rPr>
        <w:t>GrabFood</w:t>
      </w:r>
      <w:proofErr w:type="spellEnd"/>
      <w:r w:rsidRPr="00791A0B">
        <w:rPr>
          <w:rFonts w:ascii="Garamond" w:hAnsi="Garamond"/>
        </w:rPr>
        <w:t xml:space="preserve">, </w:t>
      </w:r>
      <w:proofErr w:type="spellStart"/>
      <w:r w:rsidRPr="00791A0B">
        <w:rPr>
          <w:rFonts w:ascii="Garamond" w:hAnsi="Garamond"/>
        </w:rPr>
        <w:t>GoFood</w:t>
      </w:r>
      <w:proofErr w:type="spellEnd"/>
      <w:r w:rsidRPr="00791A0B">
        <w:rPr>
          <w:rFonts w:ascii="Garamond" w:hAnsi="Garamond"/>
        </w:rPr>
        <w:t xml:space="preserve">, and </w:t>
      </w:r>
      <w:proofErr w:type="spellStart"/>
      <w:r w:rsidRPr="00791A0B">
        <w:rPr>
          <w:rFonts w:ascii="Garamond" w:hAnsi="Garamond"/>
        </w:rPr>
        <w:t>ShopeeFood</w:t>
      </w:r>
      <w:proofErr w:type="spellEnd"/>
      <w:r w:rsidR="002A5DF6">
        <w:rPr>
          <w:rFonts w:ascii="Garamond" w:hAnsi="Garamond"/>
        </w:rPr>
        <w:t xml:space="preserve">, </w:t>
      </w:r>
      <w:r w:rsidRPr="00791A0B">
        <w:rPr>
          <w:rFonts w:ascii="Garamond" w:hAnsi="Garamond"/>
        </w:rPr>
        <w:t xml:space="preserve">has fundamentally altered consumer expectations and experiences, intensifying the need for timely service and transparent pricing </w:t>
      </w:r>
      <w:r w:rsidRPr="00791A0B">
        <w:rPr>
          <w:rFonts w:ascii="Garamond" w:hAnsi="Garamond"/>
          <w:color w:val="4F81BD" w:themeColor="accent1"/>
        </w:rPr>
        <w:t>(</w:t>
      </w:r>
      <w:proofErr w:type="spellStart"/>
      <w:r w:rsidRPr="00791A0B">
        <w:rPr>
          <w:rFonts w:ascii="Garamond" w:hAnsi="Garamond"/>
          <w:color w:val="4F81BD" w:themeColor="accent1"/>
        </w:rPr>
        <w:t>Zuhroh</w:t>
      </w:r>
      <w:proofErr w:type="spellEnd"/>
      <w:r w:rsidRPr="00791A0B">
        <w:rPr>
          <w:rFonts w:ascii="Garamond" w:hAnsi="Garamond"/>
          <w:color w:val="4F81BD" w:themeColor="accent1"/>
        </w:rPr>
        <w:t xml:space="preserve"> et al., 2024)</w:t>
      </w:r>
      <w:r w:rsidRPr="00791A0B">
        <w:rPr>
          <w:rFonts w:ascii="Garamond" w:hAnsi="Garamond"/>
        </w:rPr>
        <w:t>. These platforms have also amplified the impact of WOM, as digital reviews and social media recommendations exert significant influence on purchase decisions.</w:t>
      </w:r>
      <w:r w:rsidR="002A5DF6">
        <w:rPr>
          <w:rFonts w:ascii="Garamond" w:hAnsi="Garamond"/>
        </w:rPr>
        <w:t xml:space="preserve"> </w:t>
      </w:r>
      <w:r w:rsidRPr="00791A0B">
        <w:rPr>
          <w:rFonts w:ascii="Garamond" w:hAnsi="Garamond"/>
        </w:rPr>
        <w:t xml:space="preserve">Despite a growing corpus of empirical research, important gaps remain. First, existing studies have often focused on either global or local brands in isolation, with few comparative analyses of how brand origin </w:t>
      </w:r>
      <w:proofErr w:type="gramStart"/>
      <w:r w:rsidRPr="00791A0B">
        <w:rPr>
          <w:rFonts w:ascii="Garamond" w:hAnsi="Garamond"/>
        </w:rPr>
        <w:t>moderates</w:t>
      </w:r>
      <w:proofErr w:type="gramEnd"/>
      <w:r w:rsidRPr="00791A0B">
        <w:rPr>
          <w:rFonts w:ascii="Garamond" w:hAnsi="Garamond"/>
        </w:rPr>
        <w:t xml:space="preserve"> loyalty drivers. Second, WOM, particularly in its digital form, has received insufficient theoretical and empirical attention despite its heightened relevance in Indonesia’s social-media-intensive market. Third, inconsistencies in the reported effects of price fairness indicate a need for more nuanced conceptualizations that consider mediating and moderating variables. Finally, few studies have explicitly integrated consumer </w:t>
      </w:r>
      <w:proofErr w:type="spellStart"/>
      <w:r w:rsidRPr="00791A0B">
        <w:rPr>
          <w:rFonts w:ascii="Garamond" w:hAnsi="Garamond"/>
        </w:rPr>
        <w:t>behaviors</w:t>
      </w:r>
      <w:proofErr w:type="spellEnd"/>
      <w:r w:rsidRPr="00791A0B">
        <w:rPr>
          <w:rFonts w:ascii="Garamond" w:hAnsi="Garamond"/>
        </w:rPr>
        <w:t xml:space="preserve"> across both dine-in and digital delivery channels, even though these represent complementary aspects of the contemporary fast-food experience.</w:t>
      </w:r>
    </w:p>
    <w:p w14:paraId="61F7EA1E" w14:textId="5D981EB3" w:rsidR="00791A0B" w:rsidRPr="00791A0B" w:rsidRDefault="00791A0B" w:rsidP="00791A0B">
      <w:pPr>
        <w:ind w:firstLine="567"/>
        <w:jc w:val="both"/>
        <w:rPr>
          <w:rFonts w:ascii="Garamond" w:hAnsi="Garamond"/>
        </w:rPr>
      </w:pPr>
      <w:r w:rsidRPr="00791A0B">
        <w:rPr>
          <w:rFonts w:ascii="Garamond" w:hAnsi="Garamond"/>
        </w:rPr>
        <w:t xml:space="preserve">This SLR contributes by systematically mapping these findings, resolving ambiguities in prior research, and proposing an integrative conceptual framework that positions service quality and price fairness as antecedents of satisfaction and WOM, which in turn mediate their effects on loyalty. In doing </w:t>
      </w:r>
      <w:r w:rsidRPr="00791A0B">
        <w:rPr>
          <w:rFonts w:ascii="Garamond" w:hAnsi="Garamond"/>
        </w:rPr>
        <w:lastRenderedPageBreak/>
        <w:t>so, the review emphasizes the dual-channel nature of consumption</w:t>
      </w:r>
      <w:r w:rsidR="002A5DF6">
        <w:rPr>
          <w:rFonts w:ascii="Garamond" w:hAnsi="Garamond"/>
        </w:rPr>
        <w:t xml:space="preserve">, </w:t>
      </w:r>
      <w:r w:rsidRPr="00791A0B">
        <w:rPr>
          <w:rFonts w:ascii="Garamond" w:hAnsi="Garamond"/>
        </w:rPr>
        <w:t>offline and online</w:t>
      </w:r>
      <w:r w:rsidR="002A5DF6">
        <w:rPr>
          <w:rFonts w:ascii="Garamond" w:hAnsi="Garamond"/>
        </w:rPr>
        <w:t xml:space="preserve">, </w:t>
      </w:r>
      <w:r w:rsidRPr="00791A0B">
        <w:rPr>
          <w:rFonts w:ascii="Garamond" w:hAnsi="Garamond"/>
        </w:rPr>
        <w:t>highlighting the evolving demands of Indonesian consumers in a digitized service environment.</w:t>
      </w:r>
    </w:p>
    <w:p w14:paraId="61A79009" w14:textId="77777777" w:rsidR="00F115A9" w:rsidRDefault="00F115A9" w:rsidP="00F115A9">
      <w:pPr>
        <w:ind w:firstLine="567"/>
        <w:jc w:val="both"/>
        <w:rPr>
          <w:rFonts w:ascii="Garamond" w:hAnsi="Garamond"/>
        </w:rPr>
      </w:pPr>
    </w:p>
    <w:p w14:paraId="0CC2F586" w14:textId="1B4E8533" w:rsidR="00F115A9" w:rsidRPr="00065CD8" w:rsidRDefault="00F115A9" w:rsidP="00F115A9">
      <w:pPr>
        <w:pStyle w:val="ListParagraph"/>
        <w:numPr>
          <w:ilvl w:val="0"/>
          <w:numId w:val="79"/>
        </w:numPr>
        <w:jc w:val="both"/>
        <w:rPr>
          <w:rFonts w:ascii="Garamond" w:hAnsi="Garamond"/>
        </w:rPr>
      </w:pPr>
      <w:r>
        <w:rPr>
          <w:rFonts w:ascii="Garamond" w:hAnsi="Garamond"/>
          <w:b/>
          <w:bCs/>
        </w:rPr>
        <w:t>METHODOLOGY</w:t>
      </w:r>
    </w:p>
    <w:p w14:paraId="2E51C496" w14:textId="77777777" w:rsidR="00F115A9" w:rsidRDefault="00F115A9" w:rsidP="00F115A9">
      <w:pPr>
        <w:jc w:val="both"/>
        <w:rPr>
          <w:rFonts w:ascii="Garamond" w:hAnsi="Garamond"/>
        </w:rPr>
      </w:pPr>
    </w:p>
    <w:p w14:paraId="00A120D7" w14:textId="77777777" w:rsidR="004E2AF9" w:rsidRPr="004E2AF9" w:rsidRDefault="007C7E8B" w:rsidP="004E2AF9">
      <w:pPr>
        <w:ind w:firstLine="567"/>
        <w:jc w:val="both"/>
        <w:rPr>
          <w:rFonts w:ascii="Garamond" w:hAnsi="Garamond"/>
        </w:rPr>
      </w:pPr>
      <w:r w:rsidRPr="009723F7">
        <w:rPr>
          <w:rFonts w:ascii="Garamond" w:hAnsi="Garamond"/>
          <w:lang w:val="en-US"/>
        </w:rPr>
        <w:t xml:space="preserve">This </w:t>
      </w:r>
      <w:r w:rsidR="004E2AF9" w:rsidRPr="004E2AF9">
        <w:rPr>
          <w:rFonts w:ascii="Garamond" w:hAnsi="Garamond"/>
        </w:rPr>
        <w:t>This study employed a systematic literature review (SLR) to synthesize and critically appraise empirical evidence on the interplay between service quality, price fairness, consumer satisfaction, word-of-mouth (WOM), and consumer loyalty in Indonesia’s fast-food industry. The SLR approach was selected for its rigor in identifying, evaluating, and synthesizing dispersed knowledge across studies, making it particularly appropriate for consolidating insights from a fragmented research area. Following the guidelines of the Preferred Reporting Items for Systematic Reviews and Meta-Analyses (PRISMA), the review was conducted transparently and reproducibly, ensuring methodological robustness.</w:t>
      </w:r>
    </w:p>
    <w:p w14:paraId="40759792" w14:textId="77777777" w:rsidR="004E2AF9" w:rsidRPr="004E2AF9" w:rsidRDefault="004E2AF9" w:rsidP="004E2AF9">
      <w:pPr>
        <w:ind w:firstLine="567"/>
        <w:jc w:val="both"/>
        <w:rPr>
          <w:rFonts w:ascii="Garamond" w:hAnsi="Garamond"/>
        </w:rPr>
      </w:pPr>
      <w:r w:rsidRPr="004E2AF9">
        <w:rPr>
          <w:rFonts w:ascii="Garamond" w:hAnsi="Garamond"/>
        </w:rPr>
        <w:t>The review was guided by a clear research objective: to examine the extent and nature of empirical evidence regarding the drivers of loyalty in Indonesia’s fast-food sector, identify patterns of findings, and reveal conceptual and methodological gaps. The search strategy targeted peer-reviewed empirical studies published between 2010 and early 2025, in either English or Bahasa Indonesia, focusing explicitly on the constructs of interest within the fast-food context. Comprehensive searches were conducted across leading academic databases, including Scopus, Web of Science, ProQuest, Emerald Insight, and Google Scholar. To construct the search queries, Boolean operators and combinations of keywords were employed, such as “service quality,” “price fairness,” “consumer satisfaction,” “word of mouth,” “consumer loyalty,” “fast food,” and “Indonesia.” This approach maximized retrieval of relevant literature while minimizing irrelevant results.</w:t>
      </w:r>
    </w:p>
    <w:p w14:paraId="7A44901B" w14:textId="77777777" w:rsidR="004E2AF9" w:rsidRPr="004E2AF9" w:rsidRDefault="004E2AF9" w:rsidP="004E2AF9">
      <w:pPr>
        <w:ind w:firstLine="567"/>
        <w:jc w:val="both"/>
        <w:rPr>
          <w:rFonts w:ascii="Garamond" w:hAnsi="Garamond"/>
        </w:rPr>
      </w:pPr>
      <w:r w:rsidRPr="004E2AF9">
        <w:rPr>
          <w:rFonts w:ascii="Garamond" w:hAnsi="Garamond"/>
        </w:rPr>
        <w:t>All identified records were imported into a reference management tool, and duplicates were removed. Screening proceeded in two stages: initial screening of titles and abstracts for relevance, followed by full-text screening of potentially eligible studies against pre-defined inclusion and exclusion criteria. Inclusion criteria stipulated that studies must empirically examine at least one of the target constructs in the context of Indonesia’s fast-food industry and report primary data analyses. Studies were excluded if they were conceptual in nature, conducted outside Indonesia, focused on unrelated industries, or lacked sufficient methodological detail.</w:t>
      </w:r>
    </w:p>
    <w:p w14:paraId="33595FD5" w14:textId="77777777" w:rsidR="004E2AF9" w:rsidRPr="004E2AF9" w:rsidRDefault="004E2AF9" w:rsidP="004E2AF9">
      <w:pPr>
        <w:ind w:firstLine="567"/>
        <w:jc w:val="both"/>
        <w:rPr>
          <w:rFonts w:ascii="Garamond" w:hAnsi="Garamond"/>
        </w:rPr>
      </w:pPr>
      <w:r w:rsidRPr="004E2AF9">
        <w:rPr>
          <w:rFonts w:ascii="Garamond" w:hAnsi="Garamond"/>
        </w:rPr>
        <w:t>After screening, a total of 31 studies met the criteria and were included in the synthesis. Each included study was subjected to quality appraisal using an adapted version of the Critical Appraisal Skills Programme (CASP) checklist, evaluating clarity of objectives, appropriateness of design, sample adequacy, validity and reliability of measures, and analytical rigor. Studies scoring below a minimum quality threshold were excluded to ensure the integrity of the synthesis. Data extraction followed a structured protocol to capture bibliographic details, study objectives, sample characteristics, theoretical frameworks, measurement models, key findings, and limitations.</w:t>
      </w:r>
    </w:p>
    <w:p w14:paraId="4D35DA65" w14:textId="5474496F" w:rsidR="004E2AF9" w:rsidRDefault="004E2AF9" w:rsidP="004E2AF9">
      <w:pPr>
        <w:ind w:firstLine="567"/>
        <w:jc w:val="both"/>
        <w:rPr>
          <w:rFonts w:ascii="Garamond" w:hAnsi="Garamond"/>
        </w:rPr>
      </w:pPr>
      <w:r w:rsidRPr="004E2AF9">
        <w:rPr>
          <w:rFonts w:ascii="Garamond" w:hAnsi="Garamond"/>
        </w:rPr>
        <w:t>The data synthesis was conducted thematically, allowing identification of patterns, divergences, and gaps across the studies. Relationships among constructs were summarized, and methodological trends, such as common research designs and analytical approaches, were noted. To complement the narrative synthesis, a PRISMA flow diagram was constructed to illustrate the review process and document the numbers of records at each stage of identification, screening, eligibility assessment, and inclusion.</w:t>
      </w:r>
      <w:r>
        <w:rPr>
          <w:rFonts w:ascii="Garamond" w:hAnsi="Garamond"/>
        </w:rPr>
        <w:t xml:space="preserve"> </w:t>
      </w:r>
      <w:r w:rsidRPr="004E2AF9">
        <w:rPr>
          <w:rFonts w:ascii="Garamond" w:hAnsi="Garamond"/>
        </w:rPr>
        <w:t>By adhering to this systematic and transparent methodology, the review ensures reliability and provides a strong foundation for the conclusions drawn and the research agenda proposed</w:t>
      </w:r>
      <w:r>
        <w:rPr>
          <w:rFonts w:ascii="Garamond" w:hAnsi="Garamond"/>
        </w:rPr>
        <w:t>.</w:t>
      </w:r>
    </w:p>
    <w:p w14:paraId="740D6951" w14:textId="77777777" w:rsidR="004E2AF9" w:rsidRPr="004E2AF9" w:rsidRDefault="004E2AF9" w:rsidP="004E2AF9">
      <w:pPr>
        <w:ind w:firstLine="567"/>
        <w:jc w:val="both"/>
        <w:rPr>
          <w:rFonts w:ascii="Garamond" w:hAnsi="Garamond"/>
        </w:rPr>
      </w:pPr>
    </w:p>
    <w:p w14:paraId="0CD3BBBD" w14:textId="428F877E" w:rsidR="009723F7" w:rsidRPr="009723F7" w:rsidRDefault="004E2AF9" w:rsidP="004E2AF9">
      <w:pPr>
        <w:ind w:firstLine="567"/>
        <w:jc w:val="center"/>
        <w:rPr>
          <w:rFonts w:ascii="Garamond" w:hAnsi="Garamond"/>
          <w:lang w:val="en-US"/>
        </w:rPr>
      </w:pPr>
      <w:r>
        <w:rPr>
          <w:rFonts w:ascii="Garamond" w:hAnsi="Garamond"/>
          <w:noProof/>
          <w:lang w:val="en-US"/>
        </w:rPr>
        <w:lastRenderedPageBreak/>
        <w:drawing>
          <wp:inline distT="0" distB="0" distL="0" distR="0" wp14:anchorId="174DB5E8" wp14:editId="56358479">
            <wp:extent cx="2124672" cy="6635750"/>
            <wp:effectExtent l="0" t="0" r="9525" b="0"/>
            <wp:docPr id="900037050"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37050" name="Picture 3" descr="A screenshot of a computer screen&#10;&#10;AI-generated content may be incorrect."/>
                    <pic:cNvPicPr/>
                  </pic:nvPicPr>
                  <pic:blipFill>
                    <a:blip r:embed="rId12"/>
                    <a:stretch>
                      <a:fillRect/>
                    </a:stretch>
                  </pic:blipFill>
                  <pic:spPr>
                    <a:xfrm>
                      <a:off x="0" y="0"/>
                      <a:ext cx="2129571" cy="6651052"/>
                    </a:xfrm>
                    <a:prstGeom prst="rect">
                      <a:avLst/>
                    </a:prstGeom>
                  </pic:spPr>
                </pic:pic>
              </a:graphicData>
            </a:graphic>
          </wp:inline>
        </w:drawing>
      </w:r>
    </w:p>
    <w:p w14:paraId="274D740B" w14:textId="6E59F9E9" w:rsidR="009723F7" w:rsidRPr="004E2AF9" w:rsidRDefault="004E2AF9" w:rsidP="004E2AF9">
      <w:pPr>
        <w:ind w:firstLine="567"/>
        <w:jc w:val="center"/>
        <w:rPr>
          <w:rFonts w:ascii="Garamond" w:hAnsi="Garamond"/>
          <w:b/>
          <w:bCs/>
        </w:rPr>
      </w:pPr>
      <w:r w:rsidRPr="004E2AF9">
        <w:rPr>
          <w:rFonts w:ascii="Garamond" w:hAnsi="Garamond"/>
          <w:b/>
          <w:bCs/>
        </w:rPr>
        <w:t>Figure 1. PRISMA Flow Diagram</w:t>
      </w:r>
    </w:p>
    <w:p w14:paraId="6DCE3BFA" w14:textId="77777777" w:rsidR="004E2AF9" w:rsidRDefault="004E2AF9" w:rsidP="00C03054">
      <w:pPr>
        <w:ind w:firstLine="567"/>
        <w:jc w:val="both"/>
        <w:rPr>
          <w:rFonts w:ascii="Garamond" w:hAnsi="Garamond"/>
        </w:rPr>
      </w:pPr>
    </w:p>
    <w:p w14:paraId="7EE433DE" w14:textId="0DAC9836" w:rsidR="00F115A9" w:rsidRPr="00B14E66" w:rsidRDefault="00791A0B" w:rsidP="00B14E66">
      <w:pPr>
        <w:pStyle w:val="ListParagraph"/>
        <w:numPr>
          <w:ilvl w:val="0"/>
          <w:numId w:val="79"/>
        </w:numPr>
        <w:jc w:val="both"/>
        <w:rPr>
          <w:rFonts w:ascii="Garamond" w:hAnsi="Garamond"/>
        </w:rPr>
      </w:pPr>
      <w:r w:rsidRPr="00791A0B">
        <w:rPr>
          <w:rFonts w:ascii="Garamond" w:hAnsi="Garamond"/>
          <w:b/>
          <w:bCs/>
        </w:rPr>
        <w:t>RESULTS AND DISCUSSION</w:t>
      </w:r>
    </w:p>
    <w:p w14:paraId="19BD72E9" w14:textId="0D7B3034" w:rsidR="00791A0B" w:rsidRPr="00791A0B" w:rsidRDefault="00791A0B" w:rsidP="00791A0B">
      <w:pPr>
        <w:pBdr>
          <w:top w:val="nil"/>
          <w:left w:val="nil"/>
          <w:bottom w:val="nil"/>
          <w:right w:val="nil"/>
          <w:between w:val="nil"/>
        </w:pBdr>
        <w:spacing w:before="120" w:after="120"/>
        <w:jc w:val="both"/>
        <w:rPr>
          <w:rFonts w:ascii="Garamond" w:hAnsi="Garamond"/>
          <w:b/>
          <w:bCs/>
          <w:color w:val="000000"/>
        </w:rPr>
      </w:pPr>
      <w:r w:rsidRPr="00791A0B">
        <w:rPr>
          <w:rFonts w:ascii="Garamond" w:hAnsi="Garamond"/>
          <w:b/>
          <w:bCs/>
          <w:color w:val="000000"/>
        </w:rPr>
        <w:t xml:space="preserve">3.1. Research Gaps </w:t>
      </w:r>
      <w:r>
        <w:rPr>
          <w:rFonts w:ascii="Garamond" w:hAnsi="Garamond"/>
          <w:b/>
          <w:bCs/>
          <w:color w:val="000000"/>
        </w:rPr>
        <w:t>a</w:t>
      </w:r>
      <w:r w:rsidRPr="00791A0B">
        <w:rPr>
          <w:rFonts w:ascii="Garamond" w:hAnsi="Garamond"/>
          <w:b/>
          <w:bCs/>
          <w:color w:val="000000"/>
        </w:rPr>
        <w:t>nd Future Directions</w:t>
      </w:r>
    </w:p>
    <w:p w14:paraId="6A2B2D5C" w14:textId="2C7252C9" w:rsidR="00775A06" w:rsidRDefault="00791A0B" w:rsidP="00B14E66">
      <w:pPr>
        <w:pBdr>
          <w:top w:val="nil"/>
          <w:left w:val="nil"/>
          <w:bottom w:val="nil"/>
          <w:right w:val="nil"/>
          <w:between w:val="nil"/>
        </w:pBdr>
        <w:spacing w:before="120" w:after="120"/>
        <w:ind w:firstLine="720"/>
        <w:jc w:val="both"/>
        <w:rPr>
          <w:rFonts w:ascii="Garamond" w:hAnsi="Garamond"/>
          <w:color w:val="000000"/>
        </w:rPr>
      </w:pPr>
      <w:r w:rsidRPr="00791A0B">
        <w:rPr>
          <w:rFonts w:ascii="Garamond" w:hAnsi="Garamond"/>
          <w:color w:val="000000"/>
        </w:rPr>
        <w:t xml:space="preserve">This systematic literature review </w:t>
      </w:r>
      <w:proofErr w:type="spellStart"/>
      <w:r w:rsidRPr="00791A0B">
        <w:rPr>
          <w:rFonts w:ascii="Garamond" w:hAnsi="Garamond"/>
          <w:color w:val="000000"/>
        </w:rPr>
        <w:t>analyzed</w:t>
      </w:r>
      <w:proofErr w:type="spellEnd"/>
      <w:r w:rsidRPr="00791A0B">
        <w:rPr>
          <w:rFonts w:ascii="Garamond" w:hAnsi="Garamond"/>
          <w:color w:val="000000"/>
        </w:rPr>
        <w:t xml:space="preserve"> 31 empirical studies published between 2010 and 2025 that investigated the relationships between service quality, price fairness, consumer satisfaction, word-of-mouth (WOM), and consumer loyalty in Indonesia’s fast-food industry. The review identified clear patterns of </w:t>
      </w:r>
      <w:r w:rsidR="00CC54D8" w:rsidRPr="00791A0B">
        <w:rPr>
          <w:rFonts w:ascii="Garamond" w:hAnsi="Garamond"/>
          <w:color w:val="000000"/>
        </w:rPr>
        <w:t>findings but</w:t>
      </w:r>
      <w:r w:rsidRPr="00791A0B">
        <w:rPr>
          <w:rFonts w:ascii="Garamond" w:hAnsi="Garamond"/>
          <w:color w:val="000000"/>
        </w:rPr>
        <w:t xml:space="preserve"> also revealed several important research gaps and unresolved questions that merit future investigation. The following subsections discuss these insights thematically, corresponding to the key constructs</w:t>
      </w:r>
      <w:r w:rsidR="007C7E8B" w:rsidRPr="00B14E66">
        <w:rPr>
          <w:rFonts w:ascii="Garamond" w:hAnsi="Garamond"/>
          <w:color w:val="000000"/>
        </w:rPr>
        <w:t>.</w:t>
      </w:r>
    </w:p>
    <w:p w14:paraId="6D839CC9" w14:textId="6993669C" w:rsidR="00E763FE" w:rsidRPr="00CC54D8" w:rsidRDefault="00CC54D8" w:rsidP="00CC54D8">
      <w:pPr>
        <w:pBdr>
          <w:top w:val="nil"/>
          <w:left w:val="nil"/>
          <w:bottom w:val="nil"/>
          <w:right w:val="nil"/>
          <w:between w:val="nil"/>
        </w:pBdr>
        <w:spacing w:before="120" w:after="120"/>
        <w:jc w:val="center"/>
        <w:rPr>
          <w:rFonts w:ascii="Garamond" w:hAnsi="Garamond"/>
          <w:b/>
          <w:bCs/>
          <w:color w:val="000000"/>
        </w:rPr>
      </w:pPr>
      <w:r w:rsidRPr="00CC54D8">
        <w:rPr>
          <w:rFonts w:ascii="Garamond" w:hAnsi="Garamond"/>
          <w:b/>
          <w:bCs/>
          <w:color w:val="000000"/>
        </w:rPr>
        <w:lastRenderedPageBreak/>
        <w:t>Table X. Key Research Topics, Identified Gaps, and Future Research Directions in the Indonesian Fast-Food Loyalty Context</w:t>
      </w:r>
    </w:p>
    <w:tbl>
      <w:tblPr>
        <w:tblStyle w:val="PlainTable1"/>
        <w:tblW w:w="9360" w:type="dxa"/>
        <w:jc w:val="center"/>
        <w:tblLook w:val="04A0" w:firstRow="1" w:lastRow="0" w:firstColumn="1" w:lastColumn="0" w:noHBand="0" w:noVBand="1"/>
      </w:tblPr>
      <w:tblGrid>
        <w:gridCol w:w="1318"/>
        <w:gridCol w:w="2376"/>
        <w:gridCol w:w="1960"/>
        <w:gridCol w:w="1562"/>
        <w:gridCol w:w="2520"/>
      </w:tblGrid>
      <w:tr w:rsidR="00CC54D8" w:rsidRPr="00CC54D8" w14:paraId="0838F12E" w14:textId="77777777" w:rsidTr="004E2AF9">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20478665" w14:textId="77777777" w:rsidR="00CC54D8" w:rsidRPr="00CC54D8" w:rsidRDefault="00CC54D8" w:rsidP="00CC54D8">
            <w:pPr>
              <w:jc w:val="center"/>
              <w:rPr>
                <w:rFonts w:ascii="Garamond" w:hAnsi="Garamond"/>
                <w:color w:val="000000"/>
                <w:sz w:val="20"/>
                <w:szCs w:val="20"/>
              </w:rPr>
            </w:pPr>
            <w:r w:rsidRPr="00CC54D8">
              <w:rPr>
                <w:rFonts w:ascii="Garamond" w:hAnsi="Garamond"/>
                <w:color w:val="000000"/>
                <w:sz w:val="20"/>
                <w:szCs w:val="20"/>
              </w:rPr>
              <w:t>Topic Area</w:t>
            </w:r>
          </w:p>
        </w:tc>
        <w:tc>
          <w:tcPr>
            <w:tcW w:w="2504" w:type="dxa"/>
            <w:noWrap/>
            <w:vAlign w:val="center"/>
            <w:hideMark/>
          </w:tcPr>
          <w:p w14:paraId="72FB8C2F" w14:textId="77777777" w:rsidR="00CC54D8" w:rsidRPr="00CC54D8" w:rsidRDefault="00CC54D8" w:rsidP="00CC54D8">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Key Findings in Literature</w:t>
            </w:r>
          </w:p>
        </w:tc>
        <w:tc>
          <w:tcPr>
            <w:tcW w:w="2063" w:type="dxa"/>
            <w:noWrap/>
            <w:vAlign w:val="center"/>
            <w:hideMark/>
          </w:tcPr>
          <w:p w14:paraId="373DC975" w14:textId="77777777" w:rsidR="00CC54D8" w:rsidRPr="00CC54D8" w:rsidRDefault="00CC54D8" w:rsidP="00CC54D8">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Identified Research Gaps</w:t>
            </w:r>
          </w:p>
        </w:tc>
        <w:tc>
          <w:tcPr>
            <w:tcW w:w="1642" w:type="dxa"/>
            <w:noWrap/>
            <w:vAlign w:val="center"/>
            <w:hideMark/>
          </w:tcPr>
          <w:p w14:paraId="58665403" w14:textId="77777777" w:rsidR="00CC54D8" w:rsidRPr="00CC54D8" w:rsidRDefault="00CC54D8" w:rsidP="00CC54D8">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Theoretical Importance</w:t>
            </w:r>
          </w:p>
        </w:tc>
        <w:tc>
          <w:tcPr>
            <w:tcW w:w="2656" w:type="dxa"/>
            <w:noWrap/>
            <w:vAlign w:val="center"/>
            <w:hideMark/>
          </w:tcPr>
          <w:p w14:paraId="68B1CE01" w14:textId="77777777" w:rsidR="00CC54D8" w:rsidRPr="00CC54D8" w:rsidRDefault="00CC54D8" w:rsidP="00CC54D8">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Suggested Future Research Directions</w:t>
            </w:r>
          </w:p>
        </w:tc>
      </w:tr>
      <w:tr w:rsidR="00CC54D8" w:rsidRPr="00CC54D8" w14:paraId="759C6AED" w14:textId="77777777" w:rsidTr="00CC54D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95" w:type="dxa"/>
            <w:noWrap/>
            <w:hideMark/>
          </w:tcPr>
          <w:p w14:paraId="0B892C02" w14:textId="77777777" w:rsidR="00CC54D8" w:rsidRPr="00CC54D8" w:rsidRDefault="00CC54D8">
            <w:pPr>
              <w:rPr>
                <w:rFonts w:ascii="Garamond" w:hAnsi="Garamond"/>
                <w:color w:val="000000"/>
                <w:sz w:val="20"/>
                <w:szCs w:val="20"/>
              </w:rPr>
            </w:pPr>
            <w:r w:rsidRPr="00CC54D8">
              <w:rPr>
                <w:rFonts w:ascii="Garamond" w:hAnsi="Garamond"/>
                <w:color w:val="000000"/>
                <w:sz w:val="20"/>
                <w:szCs w:val="20"/>
              </w:rPr>
              <w:t>Service Quality</w:t>
            </w:r>
          </w:p>
        </w:tc>
        <w:tc>
          <w:tcPr>
            <w:tcW w:w="2504" w:type="dxa"/>
            <w:noWrap/>
            <w:hideMark/>
          </w:tcPr>
          <w:p w14:paraId="286A0858"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proofErr w:type="gramStart"/>
            <w:r w:rsidRPr="00CC54D8">
              <w:rPr>
                <w:rFonts w:ascii="Garamond" w:hAnsi="Garamond"/>
                <w:color w:val="000000"/>
                <w:sz w:val="20"/>
                <w:szCs w:val="20"/>
              </w:rPr>
              <w:t>Service quality,</w:t>
            </w:r>
            <w:proofErr w:type="gramEnd"/>
            <w:r w:rsidRPr="00CC54D8">
              <w:rPr>
                <w:rFonts w:ascii="Garamond" w:hAnsi="Garamond"/>
                <w:color w:val="000000"/>
                <w:sz w:val="20"/>
                <w:szCs w:val="20"/>
              </w:rPr>
              <w:t xml:space="preserve"> often operationalized via SERVQUAL </w:t>
            </w:r>
            <w:r w:rsidRPr="0082224F">
              <w:rPr>
                <w:rFonts w:ascii="Garamond" w:hAnsi="Garamond"/>
                <w:color w:val="4F81BD" w:themeColor="accent1"/>
                <w:sz w:val="20"/>
                <w:szCs w:val="20"/>
              </w:rPr>
              <w:t>(Zeithaml et al., 1996)</w:t>
            </w:r>
            <w:r w:rsidRPr="00CC54D8">
              <w:rPr>
                <w:rFonts w:ascii="Garamond" w:hAnsi="Garamond"/>
                <w:color w:val="000000"/>
                <w:sz w:val="20"/>
                <w:szCs w:val="20"/>
              </w:rPr>
              <w:t xml:space="preserve">, positively influences satisfaction and loyalty </w:t>
            </w:r>
            <w:r w:rsidRPr="0082224F">
              <w:rPr>
                <w:rFonts w:ascii="Garamond" w:hAnsi="Garamond"/>
                <w:color w:val="4F81BD" w:themeColor="accent1"/>
                <w:sz w:val="20"/>
                <w:szCs w:val="20"/>
              </w:rPr>
              <w:t>(</w:t>
            </w:r>
            <w:proofErr w:type="spellStart"/>
            <w:r w:rsidRPr="0082224F">
              <w:rPr>
                <w:rFonts w:ascii="Garamond" w:hAnsi="Garamond"/>
                <w:color w:val="4F81BD" w:themeColor="accent1"/>
                <w:sz w:val="20"/>
                <w:szCs w:val="20"/>
              </w:rPr>
              <w:t>Djakasaputra</w:t>
            </w:r>
            <w:proofErr w:type="spellEnd"/>
            <w:r w:rsidRPr="0082224F">
              <w:rPr>
                <w:rFonts w:ascii="Garamond" w:hAnsi="Garamond"/>
                <w:color w:val="4F81BD" w:themeColor="accent1"/>
                <w:sz w:val="20"/>
                <w:szCs w:val="20"/>
              </w:rPr>
              <w:t xml:space="preserve"> et al., 2021; Sahir et al., 2021)</w:t>
            </w:r>
            <w:r w:rsidRPr="00CC54D8">
              <w:rPr>
                <w:rFonts w:ascii="Garamond" w:hAnsi="Garamond"/>
                <w:color w:val="000000"/>
                <w:sz w:val="20"/>
                <w:szCs w:val="20"/>
              </w:rPr>
              <w:t>. Speed, cleanliness, and reliability are central.</w:t>
            </w:r>
          </w:p>
        </w:tc>
        <w:tc>
          <w:tcPr>
            <w:tcW w:w="2063" w:type="dxa"/>
            <w:noWrap/>
            <w:hideMark/>
          </w:tcPr>
          <w:p w14:paraId="06CED39E"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Limited examination of digital dimensions of service quality (e.g., app usability, delivery experience). Lack of studies on indirect effects mediated by WOM.</w:t>
            </w:r>
          </w:p>
        </w:tc>
        <w:tc>
          <w:tcPr>
            <w:tcW w:w="1642" w:type="dxa"/>
            <w:noWrap/>
            <w:hideMark/>
          </w:tcPr>
          <w:p w14:paraId="4798F7FD"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Extends the conceptual boundary of service quality theory to omnichannel and platform-based contexts.</w:t>
            </w:r>
          </w:p>
        </w:tc>
        <w:tc>
          <w:tcPr>
            <w:tcW w:w="2656" w:type="dxa"/>
            <w:noWrap/>
            <w:hideMark/>
          </w:tcPr>
          <w:p w14:paraId="526E8977"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Incorporate digital-specific service attributes into SERVQUAL. Test mediation models where WOM links service quality and loyalty. Explore interaction effects of offline and online service quality perceptions.</w:t>
            </w:r>
          </w:p>
        </w:tc>
      </w:tr>
      <w:tr w:rsidR="00CC54D8" w:rsidRPr="00CC54D8" w14:paraId="43DF6B29" w14:textId="77777777" w:rsidTr="00CC54D8">
        <w:trPr>
          <w:trHeight w:val="290"/>
          <w:jc w:val="center"/>
        </w:trPr>
        <w:tc>
          <w:tcPr>
            <w:cnfStyle w:val="001000000000" w:firstRow="0" w:lastRow="0" w:firstColumn="1" w:lastColumn="0" w:oddVBand="0" w:evenVBand="0" w:oddHBand="0" w:evenHBand="0" w:firstRowFirstColumn="0" w:firstRowLastColumn="0" w:lastRowFirstColumn="0" w:lastRowLastColumn="0"/>
            <w:tcW w:w="495" w:type="dxa"/>
            <w:noWrap/>
            <w:hideMark/>
          </w:tcPr>
          <w:p w14:paraId="0CBEF7FE" w14:textId="77777777" w:rsidR="00CC54D8" w:rsidRPr="00CC54D8" w:rsidRDefault="00CC54D8">
            <w:pPr>
              <w:rPr>
                <w:rFonts w:ascii="Garamond" w:hAnsi="Garamond"/>
                <w:color w:val="000000"/>
                <w:sz w:val="20"/>
                <w:szCs w:val="20"/>
              </w:rPr>
            </w:pPr>
            <w:r w:rsidRPr="00CC54D8">
              <w:rPr>
                <w:rFonts w:ascii="Garamond" w:hAnsi="Garamond"/>
                <w:color w:val="000000"/>
                <w:sz w:val="20"/>
                <w:szCs w:val="20"/>
              </w:rPr>
              <w:t>Price Fairness</w:t>
            </w:r>
          </w:p>
        </w:tc>
        <w:tc>
          <w:tcPr>
            <w:tcW w:w="2504" w:type="dxa"/>
            <w:noWrap/>
            <w:hideMark/>
          </w:tcPr>
          <w:p w14:paraId="153C8259"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 xml:space="preserve">Consumers’ perceived fairness of prices influences satisfaction and loyalty, though findings are inconsistent </w:t>
            </w:r>
            <w:r w:rsidRPr="0082224F">
              <w:rPr>
                <w:rFonts w:ascii="Garamond" w:hAnsi="Garamond"/>
                <w:color w:val="4F81BD" w:themeColor="accent1"/>
                <w:sz w:val="20"/>
                <w:szCs w:val="20"/>
              </w:rPr>
              <w:t xml:space="preserve">(Iyer et al., 2016; </w:t>
            </w:r>
            <w:proofErr w:type="spellStart"/>
            <w:r w:rsidRPr="0082224F">
              <w:rPr>
                <w:rFonts w:ascii="Garamond" w:hAnsi="Garamond"/>
                <w:color w:val="4F81BD" w:themeColor="accent1"/>
                <w:sz w:val="20"/>
                <w:szCs w:val="20"/>
              </w:rPr>
              <w:t>Meiryani</w:t>
            </w:r>
            <w:proofErr w:type="spellEnd"/>
            <w:r w:rsidRPr="0082224F">
              <w:rPr>
                <w:rFonts w:ascii="Garamond" w:hAnsi="Garamond"/>
                <w:color w:val="4F81BD" w:themeColor="accent1"/>
                <w:sz w:val="20"/>
                <w:szCs w:val="20"/>
              </w:rPr>
              <w:t xml:space="preserve"> et al., 2022)</w:t>
            </w:r>
            <w:r w:rsidRPr="00CC54D8">
              <w:rPr>
                <w:rFonts w:ascii="Garamond" w:hAnsi="Garamond"/>
                <w:color w:val="000000"/>
                <w:sz w:val="20"/>
                <w:szCs w:val="20"/>
              </w:rPr>
              <w:t>. Price comparisons are heightened in competitive and price-sensitive markets.</w:t>
            </w:r>
          </w:p>
        </w:tc>
        <w:tc>
          <w:tcPr>
            <w:tcW w:w="2063" w:type="dxa"/>
            <w:noWrap/>
            <w:hideMark/>
          </w:tcPr>
          <w:p w14:paraId="4D615737"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Inadequate understanding of price fairness in the context of dynamic pricing, delivery fees, and online promotions. Interaction effects with brand type and service quality underexplored.</w:t>
            </w:r>
          </w:p>
        </w:tc>
        <w:tc>
          <w:tcPr>
            <w:tcW w:w="1642" w:type="dxa"/>
            <w:noWrap/>
            <w:hideMark/>
          </w:tcPr>
          <w:p w14:paraId="2A5BAC61"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 xml:space="preserve">Advances fairness theory in </w:t>
            </w:r>
            <w:proofErr w:type="gramStart"/>
            <w:r w:rsidRPr="00CC54D8">
              <w:rPr>
                <w:rFonts w:ascii="Garamond" w:hAnsi="Garamond"/>
                <w:color w:val="000000"/>
                <w:sz w:val="20"/>
                <w:szCs w:val="20"/>
              </w:rPr>
              <w:t>digitally-mediated</w:t>
            </w:r>
            <w:proofErr w:type="gramEnd"/>
            <w:r w:rsidRPr="00CC54D8">
              <w:rPr>
                <w:rFonts w:ascii="Garamond" w:hAnsi="Garamond"/>
                <w:color w:val="000000"/>
                <w:sz w:val="20"/>
                <w:szCs w:val="20"/>
              </w:rPr>
              <w:t xml:space="preserve"> consumption and competitive markets. Highlights value perceptions in fast-moving consumer services.</w:t>
            </w:r>
          </w:p>
        </w:tc>
        <w:tc>
          <w:tcPr>
            <w:tcW w:w="2656" w:type="dxa"/>
            <w:noWrap/>
            <w:hideMark/>
          </w:tcPr>
          <w:p w14:paraId="19F0BF16"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Examine how platform-based dynamic pricing affects fairness perceptions. Model interaction between price fairness and brand origin (local vs. global). Use experimental designs to test pricing communication strategies.</w:t>
            </w:r>
          </w:p>
        </w:tc>
      </w:tr>
      <w:tr w:rsidR="00CC54D8" w:rsidRPr="00CC54D8" w14:paraId="5DB08815" w14:textId="77777777" w:rsidTr="00CC54D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95" w:type="dxa"/>
            <w:noWrap/>
            <w:hideMark/>
          </w:tcPr>
          <w:p w14:paraId="6D1ED843" w14:textId="77777777" w:rsidR="00CC54D8" w:rsidRPr="00CC54D8" w:rsidRDefault="00CC54D8">
            <w:pPr>
              <w:rPr>
                <w:rFonts w:ascii="Garamond" w:hAnsi="Garamond"/>
                <w:color w:val="000000"/>
                <w:sz w:val="20"/>
                <w:szCs w:val="20"/>
              </w:rPr>
            </w:pPr>
            <w:r w:rsidRPr="00CC54D8">
              <w:rPr>
                <w:rFonts w:ascii="Garamond" w:hAnsi="Garamond"/>
                <w:color w:val="000000"/>
                <w:sz w:val="20"/>
                <w:szCs w:val="20"/>
              </w:rPr>
              <w:t>Consumer Satisfaction</w:t>
            </w:r>
          </w:p>
        </w:tc>
        <w:tc>
          <w:tcPr>
            <w:tcW w:w="2504" w:type="dxa"/>
            <w:noWrap/>
            <w:hideMark/>
          </w:tcPr>
          <w:p w14:paraId="535B7069"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 xml:space="preserve">Satisfaction mediates the effects of service quality and price fairness on loyalty </w:t>
            </w:r>
            <w:r w:rsidRPr="0082224F">
              <w:rPr>
                <w:rFonts w:ascii="Garamond" w:hAnsi="Garamond"/>
                <w:color w:val="4F81BD" w:themeColor="accent1"/>
                <w:sz w:val="20"/>
                <w:szCs w:val="20"/>
              </w:rPr>
              <w:t>(Flavián et al., 2006; Sahir et al., 2021)</w:t>
            </w:r>
            <w:r w:rsidRPr="00CC54D8">
              <w:rPr>
                <w:rFonts w:ascii="Garamond" w:hAnsi="Garamond"/>
                <w:color w:val="000000"/>
                <w:sz w:val="20"/>
                <w:szCs w:val="20"/>
              </w:rPr>
              <w:t xml:space="preserve">. Cognitive and emotional responses to both traditional and digital experiences matter </w:t>
            </w:r>
            <w:r w:rsidRPr="0082224F">
              <w:rPr>
                <w:rFonts w:ascii="Garamond" w:hAnsi="Garamond"/>
                <w:color w:val="4F81BD" w:themeColor="accent1"/>
                <w:sz w:val="20"/>
                <w:szCs w:val="20"/>
              </w:rPr>
              <w:t>(</w:t>
            </w:r>
            <w:proofErr w:type="spellStart"/>
            <w:r w:rsidRPr="0082224F">
              <w:rPr>
                <w:rFonts w:ascii="Garamond" w:hAnsi="Garamond"/>
                <w:color w:val="4F81BD" w:themeColor="accent1"/>
                <w:sz w:val="20"/>
                <w:szCs w:val="20"/>
              </w:rPr>
              <w:t>Juwaini</w:t>
            </w:r>
            <w:proofErr w:type="spellEnd"/>
            <w:r w:rsidRPr="0082224F">
              <w:rPr>
                <w:rFonts w:ascii="Garamond" w:hAnsi="Garamond"/>
                <w:color w:val="4F81BD" w:themeColor="accent1"/>
                <w:sz w:val="20"/>
                <w:szCs w:val="20"/>
              </w:rPr>
              <w:t xml:space="preserve"> et al., 2022)</w:t>
            </w:r>
            <w:r w:rsidRPr="00CC54D8">
              <w:rPr>
                <w:rFonts w:ascii="Garamond" w:hAnsi="Garamond"/>
                <w:color w:val="000000"/>
                <w:sz w:val="20"/>
                <w:szCs w:val="20"/>
              </w:rPr>
              <w:t>.</w:t>
            </w:r>
          </w:p>
        </w:tc>
        <w:tc>
          <w:tcPr>
            <w:tcW w:w="2063" w:type="dxa"/>
            <w:noWrap/>
            <w:hideMark/>
          </w:tcPr>
          <w:p w14:paraId="75F43F89"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Limited longitudinal evidence on satisfaction’s predictive power over time. Underexplored differentiation of satisfaction across offline and online service encounters.</w:t>
            </w:r>
          </w:p>
        </w:tc>
        <w:tc>
          <w:tcPr>
            <w:tcW w:w="1642" w:type="dxa"/>
            <w:noWrap/>
            <w:hideMark/>
          </w:tcPr>
          <w:p w14:paraId="36367157"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Clarifies satisfaction’s stability and role in loyalty formation over time. Integrates satisfaction in multichannel consumption contexts.</w:t>
            </w:r>
          </w:p>
        </w:tc>
        <w:tc>
          <w:tcPr>
            <w:tcW w:w="2656" w:type="dxa"/>
            <w:noWrap/>
            <w:hideMark/>
          </w:tcPr>
          <w:p w14:paraId="61A6F922"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Conduct longitudinal studies tracking satisfaction and loyalty trajectories. Compare determinants of satisfaction between dine-in and delivery experiences. Explore emotional vs. cognitive components of satisfaction.</w:t>
            </w:r>
          </w:p>
        </w:tc>
      </w:tr>
      <w:tr w:rsidR="00CC54D8" w:rsidRPr="00CC54D8" w14:paraId="5EF52F94" w14:textId="77777777" w:rsidTr="00CC54D8">
        <w:trPr>
          <w:trHeight w:val="290"/>
          <w:jc w:val="center"/>
        </w:trPr>
        <w:tc>
          <w:tcPr>
            <w:cnfStyle w:val="001000000000" w:firstRow="0" w:lastRow="0" w:firstColumn="1" w:lastColumn="0" w:oddVBand="0" w:evenVBand="0" w:oddHBand="0" w:evenHBand="0" w:firstRowFirstColumn="0" w:firstRowLastColumn="0" w:lastRowFirstColumn="0" w:lastRowLastColumn="0"/>
            <w:tcW w:w="495" w:type="dxa"/>
            <w:noWrap/>
            <w:hideMark/>
          </w:tcPr>
          <w:p w14:paraId="58617BB3" w14:textId="77777777" w:rsidR="00CC54D8" w:rsidRPr="00CC54D8" w:rsidRDefault="00CC54D8">
            <w:pPr>
              <w:rPr>
                <w:rFonts w:ascii="Garamond" w:hAnsi="Garamond"/>
                <w:color w:val="000000"/>
                <w:sz w:val="20"/>
                <w:szCs w:val="20"/>
              </w:rPr>
            </w:pPr>
            <w:r w:rsidRPr="00CC54D8">
              <w:rPr>
                <w:rFonts w:ascii="Garamond" w:hAnsi="Garamond"/>
                <w:color w:val="000000"/>
                <w:sz w:val="20"/>
                <w:szCs w:val="20"/>
              </w:rPr>
              <w:t>Word-of-Mouth (WOM)</w:t>
            </w:r>
          </w:p>
        </w:tc>
        <w:tc>
          <w:tcPr>
            <w:tcW w:w="2504" w:type="dxa"/>
            <w:noWrap/>
            <w:hideMark/>
          </w:tcPr>
          <w:p w14:paraId="2ED35559"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 xml:space="preserve">WOM amplifies positive/negative experiences and influences trust, brand image, and loyalty </w:t>
            </w:r>
            <w:r w:rsidRPr="0082224F">
              <w:rPr>
                <w:rFonts w:ascii="Garamond" w:hAnsi="Garamond"/>
                <w:color w:val="4F81BD" w:themeColor="accent1"/>
                <w:sz w:val="20"/>
                <w:szCs w:val="20"/>
              </w:rPr>
              <w:t>(Adila et al., 2020; Fahlevi et al., 2024)</w:t>
            </w:r>
            <w:r w:rsidRPr="00CC54D8">
              <w:rPr>
                <w:rFonts w:ascii="Garamond" w:hAnsi="Garamond"/>
                <w:color w:val="000000"/>
                <w:sz w:val="20"/>
                <w:szCs w:val="20"/>
              </w:rPr>
              <w:t>. Most research focuses on WOM as an outcome rather than mediator.</w:t>
            </w:r>
          </w:p>
        </w:tc>
        <w:tc>
          <w:tcPr>
            <w:tcW w:w="2063" w:type="dxa"/>
            <w:noWrap/>
            <w:hideMark/>
          </w:tcPr>
          <w:p w14:paraId="7C7E1091"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Few studies explicitly model WOM as mediator or moderator. Lack of distinction between traditional WOM and e-WOM. Limited insights into WOM’s role in social-media-driven dining trends.</w:t>
            </w:r>
          </w:p>
        </w:tc>
        <w:tc>
          <w:tcPr>
            <w:tcW w:w="1642" w:type="dxa"/>
            <w:noWrap/>
            <w:hideMark/>
          </w:tcPr>
          <w:p w14:paraId="0B4E97B2"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Deepens understanding of WOM as a mechanism of social influence. Bridges service marketing and digital communication literatures.</w:t>
            </w:r>
          </w:p>
        </w:tc>
        <w:tc>
          <w:tcPr>
            <w:tcW w:w="2656" w:type="dxa"/>
            <w:noWrap/>
            <w:hideMark/>
          </w:tcPr>
          <w:p w14:paraId="611E3572"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Examine e-WOM as a mediator between satisfaction and loyalty. Study how social media platforms amplify WOM effects. Model WOM as moderator of service quality-loyalty link.</w:t>
            </w:r>
          </w:p>
        </w:tc>
      </w:tr>
      <w:tr w:rsidR="00CC54D8" w:rsidRPr="00CC54D8" w14:paraId="33098CF2" w14:textId="77777777" w:rsidTr="00CC54D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95" w:type="dxa"/>
            <w:noWrap/>
            <w:hideMark/>
          </w:tcPr>
          <w:p w14:paraId="7F2F2072" w14:textId="77777777" w:rsidR="00CC54D8" w:rsidRPr="00CC54D8" w:rsidRDefault="00CC54D8">
            <w:pPr>
              <w:rPr>
                <w:rFonts w:ascii="Garamond" w:hAnsi="Garamond"/>
                <w:color w:val="000000"/>
                <w:sz w:val="20"/>
                <w:szCs w:val="20"/>
              </w:rPr>
            </w:pPr>
            <w:r w:rsidRPr="00CC54D8">
              <w:rPr>
                <w:rFonts w:ascii="Garamond" w:hAnsi="Garamond"/>
                <w:color w:val="000000"/>
                <w:sz w:val="20"/>
                <w:szCs w:val="20"/>
              </w:rPr>
              <w:t>Consumer Loyalty</w:t>
            </w:r>
          </w:p>
        </w:tc>
        <w:tc>
          <w:tcPr>
            <w:tcW w:w="2504" w:type="dxa"/>
            <w:noWrap/>
            <w:hideMark/>
          </w:tcPr>
          <w:p w14:paraId="4DFCB3E4" w14:textId="195101D4"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Loyalty is shaped by service quality, satisfaction, WOM, and</w:t>
            </w:r>
            <w:r w:rsidR="002A5DF6">
              <w:rPr>
                <w:rFonts w:ascii="Garamond" w:hAnsi="Garamond"/>
                <w:color w:val="000000"/>
                <w:sz w:val="20"/>
                <w:szCs w:val="20"/>
              </w:rPr>
              <w:t xml:space="preserve">, </w:t>
            </w:r>
            <w:r w:rsidRPr="00CC54D8">
              <w:rPr>
                <w:rFonts w:ascii="Garamond" w:hAnsi="Garamond"/>
                <w:color w:val="000000"/>
                <w:sz w:val="20"/>
                <w:szCs w:val="20"/>
              </w:rPr>
              <w:t>less consistently</w:t>
            </w:r>
            <w:r w:rsidR="002A5DF6">
              <w:rPr>
                <w:rFonts w:ascii="Garamond" w:hAnsi="Garamond"/>
                <w:color w:val="000000"/>
                <w:sz w:val="20"/>
                <w:szCs w:val="20"/>
              </w:rPr>
              <w:t xml:space="preserve">, </w:t>
            </w:r>
            <w:r w:rsidRPr="00CC54D8">
              <w:rPr>
                <w:rFonts w:ascii="Garamond" w:hAnsi="Garamond"/>
                <w:color w:val="000000"/>
                <w:sz w:val="20"/>
                <w:szCs w:val="20"/>
              </w:rPr>
              <w:t xml:space="preserve">price fairness </w:t>
            </w:r>
            <w:r w:rsidRPr="0082224F">
              <w:rPr>
                <w:rFonts w:ascii="Garamond" w:hAnsi="Garamond"/>
                <w:color w:val="4F81BD" w:themeColor="accent1"/>
                <w:sz w:val="20"/>
                <w:szCs w:val="20"/>
              </w:rPr>
              <w:t xml:space="preserve">(Zeithaml et al., 1996; </w:t>
            </w:r>
            <w:proofErr w:type="spellStart"/>
            <w:r w:rsidRPr="0082224F">
              <w:rPr>
                <w:rFonts w:ascii="Garamond" w:hAnsi="Garamond"/>
                <w:color w:val="4F81BD" w:themeColor="accent1"/>
                <w:sz w:val="20"/>
                <w:szCs w:val="20"/>
              </w:rPr>
              <w:t>Cossío</w:t>
            </w:r>
            <w:proofErr w:type="spellEnd"/>
            <w:r w:rsidRPr="0082224F">
              <w:rPr>
                <w:rFonts w:ascii="Garamond" w:hAnsi="Garamond"/>
                <w:color w:val="4F81BD" w:themeColor="accent1"/>
                <w:sz w:val="20"/>
                <w:szCs w:val="20"/>
              </w:rPr>
              <w:t>-Silva et al., 2019)</w:t>
            </w:r>
            <w:r w:rsidRPr="00CC54D8">
              <w:rPr>
                <w:rFonts w:ascii="Garamond" w:hAnsi="Garamond"/>
                <w:color w:val="000000"/>
                <w:sz w:val="20"/>
                <w:szCs w:val="20"/>
              </w:rPr>
              <w:t xml:space="preserve">. Loyalty combines attitudinal and </w:t>
            </w:r>
            <w:proofErr w:type="spellStart"/>
            <w:r w:rsidRPr="00CC54D8">
              <w:rPr>
                <w:rFonts w:ascii="Garamond" w:hAnsi="Garamond"/>
                <w:color w:val="000000"/>
                <w:sz w:val="20"/>
                <w:szCs w:val="20"/>
              </w:rPr>
              <w:t>behavioral</w:t>
            </w:r>
            <w:proofErr w:type="spellEnd"/>
            <w:r w:rsidRPr="00CC54D8">
              <w:rPr>
                <w:rFonts w:ascii="Garamond" w:hAnsi="Garamond"/>
                <w:color w:val="000000"/>
                <w:sz w:val="20"/>
                <w:szCs w:val="20"/>
              </w:rPr>
              <w:t xml:space="preserve"> components </w:t>
            </w:r>
            <w:r w:rsidRPr="0082224F">
              <w:rPr>
                <w:rFonts w:ascii="Garamond" w:hAnsi="Garamond"/>
                <w:color w:val="4F81BD" w:themeColor="accent1"/>
                <w:sz w:val="20"/>
                <w:szCs w:val="20"/>
              </w:rPr>
              <w:t>(</w:t>
            </w:r>
            <w:proofErr w:type="spellStart"/>
            <w:r w:rsidRPr="0082224F">
              <w:rPr>
                <w:rFonts w:ascii="Garamond" w:hAnsi="Garamond"/>
                <w:color w:val="4F81BD" w:themeColor="accent1"/>
                <w:sz w:val="20"/>
                <w:szCs w:val="20"/>
              </w:rPr>
              <w:t>Alhitmi</w:t>
            </w:r>
            <w:proofErr w:type="spellEnd"/>
            <w:r w:rsidRPr="0082224F">
              <w:rPr>
                <w:rFonts w:ascii="Garamond" w:hAnsi="Garamond"/>
                <w:color w:val="4F81BD" w:themeColor="accent1"/>
                <w:sz w:val="20"/>
                <w:szCs w:val="20"/>
              </w:rPr>
              <w:t xml:space="preserve"> et al., 2023)</w:t>
            </w:r>
            <w:r w:rsidRPr="00CC54D8">
              <w:rPr>
                <w:rFonts w:ascii="Garamond" w:hAnsi="Garamond"/>
                <w:color w:val="000000"/>
                <w:sz w:val="20"/>
                <w:szCs w:val="20"/>
              </w:rPr>
              <w:t>.</w:t>
            </w:r>
          </w:p>
        </w:tc>
        <w:tc>
          <w:tcPr>
            <w:tcW w:w="2063" w:type="dxa"/>
            <w:noWrap/>
            <w:hideMark/>
          </w:tcPr>
          <w:p w14:paraId="728E230B"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Few comparative studies of loyalty drivers between local and global brands. Limited research on loyalty in the presence of online switching incentives and platform competition.</w:t>
            </w:r>
          </w:p>
        </w:tc>
        <w:tc>
          <w:tcPr>
            <w:tcW w:w="1642" w:type="dxa"/>
            <w:noWrap/>
            <w:hideMark/>
          </w:tcPr>
          <w:p w14:paraId="51E34871"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Expands loyalty theory in competitive and digital markets. Accounts for cultural and brand-origin moderators in loyalty formation.</w:t>
            </w:r>
          </w:p>
        </w:tc>
        <w:tc>
          <w:tcPr>
            <w:tcW w:w="2656" w:type="dxa"/>
            <w:noWrap/>
            <w:hideMark/>
          </w:tcPr>
          <w:p w14:paraId="175F032D" w14:textId="77777777" w:rsidR="00CC54D8" w:rsidRPr="00CC54D8" w:rsidRDefault="00CC54D8">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Compare loyalty antecedents and strength for local vs. international brands. Investigate how delivery platforms and switching costs affect loyalty. Test strategies to sustain loyalty in competitive, price-sensitive environments.</w:t>
            </w:r>
          </w:p>
        </w:tc>
      </w:tr>
      <w:tr w:rsidR="00CC54D8" w:rsidRPr="00CC54D8" w14:paraId="12011D59" w14:textId="77777777" w:rsidTr="00CC54D8">
        <w:trPr>
          <w:trHeight w:val="290"/>
          <w:jc w:val="center"/>
        </w:trPr>
        <w:tc>
          <w:tcPr>
            <w:cnfStyle w:val="001000000000" w:firstRow="0" w:lastRow="0" w:firstColumn="1" w:lastColumn="0" w:oddVBand="0" w:evenVBand="0" w:oddHBand="0" w:evenHBand="0" w:firstRowFirstColumn="0" w:firstRowLastColumn="0" w:lastRowFirstColumn="0" w:lastRowLastColumn="0"/>
            <w:tcW w:w="495" w:type="dxa"/>
            <w:noWrap/>
            <w:hideMark/>
          </w:tcPr>
          <w:p w14:paraId="1070F137" w14:textId="77777777" w:rsidR="00CC54D8" w:rsidRPr="00CC54D8" w:rsidRDefault="00CC54D8">
            <w:pPr>
              <w:rPr>
                <w:rFonts w:ascii="Garamond" w:hAnsi="Garamond"/>
                <w:color w:val="000000"/>
                <w:sz w:val="20"/>
                <w:szCs w:val="20"/>
              </w:rPr>
            </w:pPr>
            <w:r w:rsidRPr="00CC54D8">
              <w:rPr>
                <w:rFonts w:ascii="Garamond" w:hAnsi="Garamond"/>
                <w:color w:val="000000"/>
                <w:sz w:val="20"/>
                <w:szCs w:val="20"/>
              </w:rPr>
              <w:t>Digitalization and Omnichannel Experience</w:t>
            </w:r>
          </w:p>
        </w:tc>
        <w:tc>
          <w:tcPr>
            <w:tcW w:w="2504" w:type="dxa"/>
            <w:noWrap/>
            <w:hideMark/>
          </w:tcPr>
          <w:p w14:paraId="57E28187"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t xml:space="preserve">Emerging evidence suggests that digital platforms shape perceptions of service, fairness, and satisfaction </w:t>
            </w:r>
            <w:r w:rsidRPr="0082224F">
              <w:rPr>
                <w:rFonts w:ascii="Garamond" w:hAnsi="Garamond"/>
                <w:color w:val="4F81BD" w:themeColor="accent1"/>
                <w:sz w:val="20"/>
                <w:szCs w:val="20"/>
              </w:rPr>
              <w:lastRenderedPageBreak/>
              <w:t>(</w:t>
            </w:r>
            <w:proofErr w:type="spellStart"/>
            <w:r w:rsidRPr="0082224F">
              <w:rPr>
                <w:rFonts w:ascii="Garamond" w:hAnsi="Garamond"/>
                <w:color w:val="4F81BD" w:themeColor="accent1"/>
                <w:sz w:val="20"/>
                <w:szCs w:val="20"/>
              </w:rPr>
              <w:t>Sutia</w:t>
            </w:r>
            <w:proofErr w:type="spellEnd"/>
            <w:r w:rsidRPr="0082224F">
              <w:rPr>
                <w:rFonts w:ascii="Garamond" w:hAnsi="Garamond"/>
                <w:color w:val="4F81BD" w:themeColor="accent1"/>
                <w:sz w:val="20"/>
                <w:szCs w:val="20"/>
              </w:rPr>
              <w:t xml:space="preserve"> et al., 2019; </w:t>
            </w:r>
            <w:proofErr w:type="spellStart"/>
            <w:r w:rsidRPr="0082224F">
              <w:rPr>
                <w:rFonts w:ascii="Garamond" w:hAnsi="Garamond"/>
                <w:color w:val="4F81BD" w:themeColor="accent1"/>
                <w:sz w:val="20"/>
                <w:szCs w:val="20"/>
              </w:rPr>
              <w:t>Zuhroh</w:t>
            </w:r>
            <w:proofErr w:type="spellEnd"/>
            <w:r w:rsidRPr="0082224F">
              <w:rPr>
                <w:rFonts w:ascii="Garamond" w:hAnsi="Garamond"/>
                <w:color w:val="4F81BD" w:themeColor="accent1"/>
                <w:sz w:val="20"/>
                <w:szCs w:val="20"/>
              </w:rPr>
              <w:t xml:space="preserve"> et al., 2024)</w:t>
            </w:r>
            <w:r w:rsidRPr="00CC54D8">
              <w:rPr>
                <w:rFonts w:ascii="Garamond" w:hAnsi="Garamond"/>
                <w:color w:val="000000"/>
                <w:sz w:val="20"/>
                <w:szCs w:val="20"/>
              </w:rPr>
              <w:t>. Online ordering and delivery reframe expectations of convenience and transparency.</w:t>
            </w:r>
          </w:p>
        </w:tc>
        <w:tc>
          <w:tcPr>
            <w:tcW w:w="2063" w:type="dxa"/>
            <w:noWrap/>
            <w:hideMark/>
          </w:tcPr>
          <w:p w14:paraId="278FFAE0"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lastRenderedPageBreak/>
              <w:t xml:space="preserve">Digital dimensions of fast-food consumption remain poorly theorized and empirically tested. </w:t>
            </w:r>
            <w:r w:rsidRPr="00CC54D8">
              <w:rPr>
                <w:rFonts w:ascii="Garamond" w:hAnsi="Garamond"/>
                <w:color w:val="000000"/>
                <w:sz w:val="20"/>
                <w:szCs w:val="20"/>
              </w:rPr>
              <w:lastRenderedPageBreak/>
              <w:t>Few integrated models of offline and online experiences.</w:t>
            </w:r>
          </w:p>
        </w:tc>
        <w:tc>
          <w:tcPr>
            <w:tcW w:w="1642" w:type="dxa"/>
            <w:noWrap/>
            <w:hideMark/>
          </w:tcPr>
          <w:p w14:paraId="59982D41"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lastRenderedPageBreak/>
              <w:t xml:space="preserve">Extends service-dominant logic to omnichannel foodservice environments. </w:t>
            </w:r>
            <w:r w:rsidRPr="00CC54D8">
              <w:rPr>
                <w:rFonts w:ascii="Garamond" w:hAnsi="Garamond"/>
                <w:color w:val="000000"/>
                <w:sz w:val="20"/>
                <w:szCs w:val="20"/>
              </w:rPr>
              <w:lastRenderedPageBreak/>
              <w:t>Advances knowledge of consumer expectations in platform economies.</w:t>
            </w:r>
          </w:p>
        </w:tc>
        <w:tc>
          <w:tcPr>
            <w:tcW w:w="2656" w:type="dxa"/>
            <w:noWrap/>
            <w:hideMark/>
          </w:tcPr>
          <w:p w14:paraId="3E0CF433" w14:textId="77777777" w:rsidR="00CC54D8" w:rsidRPr="00CC54D8" w:rsidRDefault="00CC54D8">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CC54D8">
              <w:rPr>
                <w:rFonts w:ascii="Garamond" w:hAnsi="Garamond"/>
                <w:color w:val="000000"/>
                <w:sz w:val="20"/>
                <w:szCs w:val="20"/>
              </w:rPr>
              <w:lastRenderedPageBreak/>
              <w:t xml:space="preserve">Develop conceptual frameworks integrating digital and offline experiences. Empirically test the relative salience of offline </w:t>
            </w:r>
            <w:r w:rsidRPr="00CC54D8">
              <w:rPr>
                <w:rFonts w:ascii="Garamond" w:hAnsi="Garamond"/>
                <w:color w:val="000000"/>
                <w:sz w:val="20"/>
                <w:szCs w:val="20"/>
              </w:rPr>
              <w:lastRenderedPageBreak/>
              <w:t xml:space="preserve">and digital attributes on satisfaction and loyalty. Explore generational differences in digital preference and loyalty </w:t>
            </w:r>
            <w:proofErr w:type="spellStart"/>
            <w:r w:rsidRPr="00CC54D8">
              <w:rPr>
                <w:rFonts w:ascii="Garamond" w:hAnsi="Garamond"/>
                <w:color w:val="000000"/>
                <w:sz w:val="20"/>
                <w:szCs w:val="20"/>
              </w:rPr>
              <w:t>behavior</w:t>
            </w:r>
            <w:proofErr w:type="spellEnd"/>
            <w:r w:rsidRPr="00CC54D8">
              <w:rPr>
                <w:rFonts w:ascii="Garamond" w:hAnsi="Garamond"/>
                <w:color w:val="000000"/>
                <w:sz w:val="20"/>
                <w:szCs w:val="20"/>
              </w:rPr>
              <w:t>.</w:t>
            </w:r>
          </w:p>
        </w:tc>
      </w:tr>
    </w:tbl>
    <w:p w14:paraId="30064269" w14:textId="77777777" w:rsidR="00CC54D8" w:rsidRDefault="00CC54D8" w:rsidP="00847AC3">
      <w:pPr>
        <w:ind w:firstLine="720"/>
        <w:jc w:val="both"/>
        <w:rPr>
          <w:rFonts w:ascii="Garamond" w:hAnsi="Garamond"/>
          <w:color w:val="000000"/>
        </w:rPr>
      </w:pPr>
    </w:p>
    <w:p w14:paraId="761C2593" w14:textId="032E8046" w:rsidR="00CC54D8" w:rsidRPr="00CC54D8" w:rsidRDefault="00CC54D8" w:rsidP="00CC54D8">
      <w:pPr>
        <w:ind w:firstLine="720"/>
        <w:jc w:val="both"/>
        <w:rPr>
          <w:rFonts w:ascii="Garamond" w:hAnsi="Garamond"/>
          <w:color w:val="000000"/>
        </w:rPr>
      </w:pPr>
      <w:r w:rsidRPr="00CC54D8">
        <w:rPr>
          <w:rFonts w:ascii="Garamond" w:hAnsi="Garamond"/>
          <w:color w:val="000000"/>
        </w:rPr>
        <w:t xml:space="preserve">First, service quality remains the most extensively researched construct, with strong evidence supporting its positive influence on customer satisfaction and loyalty, particularly through attributes such as speed, cleanliness, and reliability (Zeithaml et al., 1996; </w:t>
      </w:r>
      <w:proofErr w:type="spellStart"/>
      <w:r w:rsidRPr="00CC54D8">
        <w:rPr>
          <w:rFonts w:ascii="Garamond" w:hAnsi="Garamond"/>
          <w:color w:val="000000"/>
        </w:rPr>
        <w:t>Djakasaputra</w:t>
      </w:r>
      <w:proofErr w:type="spellEnd"/>
      <w:r w:rsidRPr="00CC54D8">
        <w:rPr>
          <w:rFonts w:ascii="Garamond" w:hAnsi="Garamond"/>
          <w:color w:val="000000"/>
        </w:rPr>
        <w:t xml:space="preserve"> et al., 2021; Sahir et al., 2021). However, the literature insufficiently addresses how digital dimensions of service</w:t>
      </w:r>
      <w:r w:rsidR="002A5DF6">
        <w:rPr>
          <w:rFonts w:ascii="Garamond" w:hAnsi="Garamond"/>
          <w:color w:val="000000"/>
        </w:rPr>
        <w:t xml:space="preserve">, </w:t>
      </w:r>
      <w:r w:rsidRPr="00CC54D8">
        <w:rPr>
          <w:rFonts w:ascii="Garamond" w:hAnsi="Garamond"/>
          <w:color w:val="000000"/>
        </w:rPr>
        <w:t>such as app usability and delivery experience</w:t>
      </w:r>
      <w:r>
        <w:rPr>
          <w:rFonts w:ascii="Garamond" w:hAnsi="Garamond"/>
          <w:color w:val="000000"/>
        </w:rPr>
        <w:t xml:space="preserve"> </w:t>
      </w:r>
      <w:r w:rsidRPr="00CC54D8">
        <w:rPr>
          <w:rFonts w:ascii="Garamond" w:hAnsi="Garamond"/>
          <w:color w:val="000000"/>
        </w:rPr>
        <w:t>fit within traditional service quality frameworks, and few studies examine indirect pathways, for instance through WOM. Addressing these gaps can extend the conceptual boundaries of service quality theory to omnichannel and platform-based settings by incorporating digital-specific attributes, testing mediation through WOM, and exploring interactions between offline and online service encounters.</w:t>
      </w:r>
    </w:p>
    <w:p w14:paraId="30DA79A8" w14:textId="77777777" w:rsidR="00CC54D8" w:rsidRPr="00CC54D8" w:rsidRDefault="00CC54D8" w:rsidP="00CC54D8">
      <w:pPr>
        <w:ind w:firstLine="720"/>
        <w:jc w:val="both"/>
        <w:rPr>
          <w:rFonts w:ascii="Garamond" w:hAnsi="Garamond"/>
          <w:color w:val="000000"/>
        </w:rPr>
      </w:pPr>
      <w:r w:rsidRPr="00CC54D8">
        <w:rPr>
          <w:rFonts w:ascii="Garamond" w:hAnsi="Garamond"/>
          <w:color w:val="000000"/>
        </w:rPr>
        <w:t xml:space="preserve">Similarly, price fairness is well-established as an important determinant of satisfaction and loyalty </w:t>
      </w:r>
      <w:r w:rsidRPr="00CC54D8">
        <w:rPr>
          <w:rFonts w:ascii="Garamond" w:hAnsi="Garamond"/>
          <w:color w:val="4F81BD" w:themeColor="accent1"/>
        </w:rPr>
        <w:t xml:space="preserve">(Iyer et al., 2016; </w:t>
      </w:r>
      <w:proofErr w:type="spellStart"/>
      <w:r w:rsidRPr="00CC54D8">
        <w:rPr>
          <w:rFonts w:ascii="Garamond" w:hAnsi="Garamond"/>
          <w:color w:val="4F81BD" w:themeColor="accent1"/>
        </w:rPr>
        <w:t>Meiryani</w:t>
      </w:r>
      <w:proofErr w:type="spellEnd"/>
      <w:r w:rsidRPr="00CC54D8">
        <w:rPr>
          <w:rFonts w:ascii="Garamond" w:hAnsi="Garamond"/>
          <w:color w:val="4F81BD" w:themeColor="accent1"/>
        </w:rPr>
        <w:t xml:space="preserve"> et al., 2022)</w:t>
      </w:r>
      <w:r w:rsidRPr="00CC54D8">
        <w:rPr>
          <w:rFonts w:ascii="Garamond" w:hAnsi="Garamond"/>
          <w:color w:val="000000"/>
        </w:rPr>
        <w:t>, particularly in price-sensitive and competitive markets. Nonetheless, research remains limited in understanding fairness perceptions in dynamic pricing contexts, such as delivery fees and promotional discounts, and how these interact with brand origin and service quality. Future work should refine fairness theory within digitally mediated consumption by examining platform-based pricing strategies and their impacts on perceived value, as well as testing these effects in experimental designs.</w:t>
      </w:r>
    </w:p>
    <w:p w14:paraId="4879E23F" w14:textId="77777777" w:rsidR="00CC54D8" w:rsidRPr="00CC54D8" w:rsidRDefault="00CC54D8" w:rsidP="00CC54D8">
      <w:pPr>
        <w:ind w:firstLine="720"/>
        <w:jc w:val="both"/>
        <w:rPr>
          <w:rFonts w:ascii="Garamond" w:hAnsi="Garamond"/>
          <w:color w:val="000000"/>
        </w:rPr>
      </w:pPr>
      <w:r w:rsidRPr="00CC54D8">
        <w:rPr>
          <w:rFonts w:ascii="Garamond" w:hAnsi="Garamond"/>
          <w:color w:val="000000"/>
        </w:rPr>
        <w:t xml:space="preserve">Consumer satisfaction consistently mediates the effects of service quality and price fairness on loyalty, combining both cognitive and emotional components across traditional and digital settings </w:t>
      </w:r>
      <w:r w:rsidRPr="00CC54D8">
        <w:rPr>
          <w:rFonts w:ascii="Garamond" w:hAnsi="Garamond"/>
          <w:color w:val="4F81BD" w:themeColor="accent1"/>
        </w:rPr>
        <w:t xml:space="preserve">(Flavián et al., 2006; Sahir et al., 2021; </w:t>
      </w:r>
      <w:proofErr w:type="spellStart"/>
      <w:r w:rsidRPr="00CC54D8">
        <w:rPr>
          <w:rFonts w:ascii="Garamond" w:hAnsi="Garamond"/>
          <w:color w:val="4F81BD" w:themeColor="accent1"/>
        </w:rPr>
        <w:t>Juwaini</w:t>
      </w:r>
      <w:proofErr w:type="spellEnd"/>
      <w:r w:rsidRPr="00CC54D8">
        <w:rPr>
          <w:rFonts w:ascii="Garamond" w:hAnsi="Garamond"/>
          <w:color w:val="4F81BD" w:themeColor="accent1"/>
        </w:rPr>
        <w:t xml:space="preserve"> et al., 2022)</w:t>
      </w:r>
      <w:r w:rsidRPr="00CC54D8">
        <w:rPr>
          <w:rFonts w:ascii="Garamond" w:hAnsi="Garamond"/>
          <w:color w:val="000000"/>
        </w:rPr>
        <w:t xml:space="preserve">. Yet, its stability over time and differential formation across dine-in and delivery experiences remain underexplored. Longitudinal and comparative studies could clarify how satisfaction predicts loyalty trajectories and </w:t>
      </w:r>
      <w:proofErr w:type="gramStart"/>
      <w:r w:rsidRPr="00CC54D8">
        <w:rPr>
          <w:rFonts w:ascii="Garamond" w:hAnsi="Garamond"/>
          <w:color w:val="000000"/>
        </w:rPr>
        <w:t>reveal</w:t>
      </w:r>
      <w:proofErr w:type="gramEnd"/>
      <w:r w:rsidRPr="00CC54D8">
        <w:rPr>
          <w:rFonts w:ascii="Garamond" w:hAnsi="Garamond"/>
          <w:color w:val="000000"/>
        </w:rPr>
        <w:t xml:space="preserve"> how satisfaction is shaped by varying service channels and emotional versus cognitive appraisals.</w:t>
      </w:r>
    </w:p>
    <w:p w14:paraId="06E957EB" w14:textId="77777777" w:rsidR="00CC54D8" w:rsidRPr="00CC54D8" w:rsidRDefault="00CC54D8" w:rsidP="00CC54D8">
      <w:pPr>
        <w:ind w:firstLine="720"/>
        <w:jc w:val="both"/>
        <w:rPr>
          <w:rFonts w:ascii="Garamond" w:hAnsi="Garamond"/>
          <w:color w:val="000000"/>
        </w:rPr>
      </w:pPr>
      <w:r w:rsidRPr="00CC54D8">
        <w:rPr>
          <w:rFonts w:ascii="Garamond" w:hAnsi="Garamond"/>
          <w:color w:val="000000"/>
        </w:rPr>
        <w:t xml:space="preserve">While word-of-mouth (WOM) is widely recognized as an outcome of positive experiences and a driver of trust, brand image, and loyalty </w:t>
      </w:r>
      <w:r w:rsidRPr="00CC54D8">
        <w:rPr>
          <w:rFonts w:ascii="Garamond" w:hAnsi="Garamond"/>
          <w:color w:val="4F81BD" w:themeColor="accent1"/>
        </w:rPr>
        <w:t>(Adila et al., 2020; Fahlevi et al., 2024)</w:t>
      </w:r>
      <w:r w:rsidRPr="00CC54D8">
        <w:rPr>
          <w:rFonts w:ascii="Garamond" w:hAnsi="Garamond"/>
          <w:color w:val="000000"/>
        </w:rPr>
        <w:t xml:space="preserve">, most studies treat it solely as an output rather than a mediating or moderating mechanism. There is also little differentiation between traditional WOM and e-WOM, despite the growing influence of social media and online reviews. Future research could deepen theoretical understanding of WOM as a mechanism of social influence by explicitly </w:t>
      </w:r>
      <w:proofErr w:type="spellStart"/>
      <w:r w:rsidRPr="00CC54D8">
        <w:rPr>
          <w:rFonts w:ascii="Garamond" w:hAnsi="Garamond"/>
          <w:color w:val="000000"/>
        </w:rPr>
        <w:t>modeling</w:t>
      </w:r>
      <w:proofErr w:type="spellEnd"/>
      <w:r w:rsidRPr="00CC54D8">
        <w:rPr>
          <w:rFonts w:ascii="Garamond" w:hAnsi="Garamond"/>
          <w:color w:val="000000"/>
        </w:rPr>
        <w:t xml:space="preserve"> e-WOM as a mediator or moderator and exploring how social platforms amplify WOM effects in fast-food contexts.</w:t>
      </w:r>
    </w:p>
    <w:p w14:paraId="40DE7B5B" w14:textId="77777777" w:rsidR="00CC54D8" w:rsidRPr="00CC54D8" w:rsidRDefault="00CC54D8" w:rsidP="00CC54D8">
      <w:pPr>
        <w:ind w:firstLine="720"/>
        <w:jc w:val="both"/>
        <w:rPr>
          <w:rFonts w:ascii="Garamond" w:hAnsi="Garamond"/>
          <w:color w:val="000000"/>
        </w:rPr>
      </w:pPr>
      <w:r w:rsidRPr="00CC54D8">
        <w:rPr>
          <w:rFonts w:ascii="Garamond" w:hAnsi="Garamond"/>
          <w:color w:val="000000"/>
        </w:rPr>
        <w:t xml:space="preserve">In examining consumer loyalty, studies largely confirm that it is driven by service quality, satisfaction, and WOM, though the role of price fairness remains inconsistent </w:t>
      </w:r>
      <w:r w:rsidRPr="00CC54D8">
        <w:rPr>
          <w:rFonts w:ascii="Garamond" w:hAnsi="Garamond"/>
          <w:color w:val="4F81BD" w:themeColor="accent1"/>
        </w:rPr>
        <w:t xml:space="preserve">(Zeithaml et al., 1996; </w:t>
      </w:r>
      <w:proofErr w:type="spellStart"/>
      <w:r w:rsidRPr="00CC54D8">
        <w:rPr>
          <w:rFonts w:ascii="Garamond" w:hAnsi="Garamond"/>
          <w:color w:val="4F81BD" w:themeColor="accent1"/>
        </w:rPr>
        <w:t>Cossío</w:t>
      </w:r>
      <w:proofErr w:type="spellEnd"/>
      <w:r w:rsidRPr="00CC54D8">
        <w:rPr>
          <w:rFonts w:ascii="Garamond" w:hAnsi="Garamond"/>
          <w:color w:val="4F81BD" w:themeColor="accent1"/>
        </w:rPr>
        <w:t xml:space="preserve">-Silva et al., 2019; </w:t>
      </w:r>
      <w:proofErr w:type="spellStart"/>
      <w:r w:rsidRPr="00CC54D8">
        <w:rPr>
          <w:rFonts w:ascii="Garamond" w:hAnsi="Garamond"/>
          <w:color w:val="4F81BD" w:themeColor="accent1"/>
        </w:rPr>
        <w:t>Alhitmi</w:t>
      </w:r>
      <w:proofErr w:type="spellEnd"/>
      <w:r w:rsidRPr="00CC54D8">
        <w:rPr>
          <w:rFonts w:ascii="Garamond" w:hAnsi="Garamond"/>
          <w:color w:val="4F81BD" w:themeColor="accent1"/>
        </w:rPr>
        <w:t xml:space="preserve"> et al., 2023)</w:t>
      </w:r>
      <w:r w:rsidRPr="00CC54D8">
        <w:rPr>
          <w:rFonts w:ascii="Garamond" w:hAnsi="Garamond"/>
          <w:color w:val="000000"/>
        </w:rPr>
        <w:t xml:space="preserve">. Few comparative studies examine loyalty drivers between local and international brands or explore how platform competition and switching incentives undermine loyalty. Addressing these gaps would expand loyalty theory in competitive and digital markets by </w:t>
      </w:r>
      <w:proofErr w:type="spellStart"/>
      <w:r w:rsidRPr="00CC54D8">
        <w:rPr>
          <w:rFonts w:ascii="Garamond" w:hAnsi="Garamond"/>
          <w:color w:val="000000"/>
        </w:rPr>
        <w:t>modeling</w:t>
      </w:r>
      <w:proofErr w:type="spellEnd"/>
      <w:r w:rsidRPr="00CC54D8">
        <w:rPr>
          <w:rFonts w:ascii="Garamond" w:hAnsi="Garamond"/>
          <w:color w:val="000000"/>
        </w:rPr>
        <w:t xml:space="preserve"> cultural and brand-origin moderators and testing strategies to sustain loyalty despite low switching costs and heightened competition.</w:t>
      </w:r>
    </w:p>
    <w:p w14:paraId="322F399C" w14:textId="77777777" w:rsidR="00CC54D8" w:rsidRDefault="00CC54D8" w:rsidP="00CC54D8">
      <w:pPr>
        <w:ind w:firstLine="720"/>
        <w:jc w:val="both"/>
        <w:rPr>
          <w:rFonts w:ascii="Garamond" w:hAnsi="Garamond"/>
          <w:color w:val="000000"/>
        </w:rPr>
      </w:pPr>
      <w:r w:rsidRPr="00CC54D8">
        <w:rPr>
          <w:rFonts w:ascii="Garamond" w:hAnsi="Garamond"/>
          <w:color w:val="000000"/>
        </w:rPr>
        <w:t xml:space="preserve">Finally, digitalization and omnichannel experiences emerge as an increasingly relevant but poorly theorized domain. While early evidence suggests that digital platforms reshape consumer perceptions of service, fairness, and satisfaction </w:t>
      </w:r>
      <w:r w:rsidRPr="00CC54D8">
        <w:rPr>
          <w:rFonts w:ascii="Garamond" w:hAnsi="Garamond"/>
          <w:color w:val="4F81BD" w:themeColor="accent1"/>
        </w:rPr>
        <w:t>(</w:t>
      </w:r>
      <w:proofErr w:type="spellStart"/>
      <w:r w:rsidRPr="00CC54D8">
        <w:rPr>
          <w:rFonts w:ascii="Garamond" w:hAnsi="Garamond"/>
          <w:color w:val="4F81BD" w:themeColor="accent1"/>
        </w:rPr>
        <w:t>Sutia</w:t>
      </w:r>
      <w:proofErr w:type="spellEnd"/>
      <w:r w:rsidRPr="00CC54D8">
        <w:rPr>
          <w:rFonts w:ascii="Garamond" w:hAnsi="Garamond"/>
          <w:color w:val="4F81BD" w:themeColor="accent1"/>
        </w:rPr>
        <w:t xml:space="preserve"> et al., 2019; </w:t>
      </w:r>
      <w:proofErr w:type="spellStart"/>
      <w:r w:rsidRPr="00CC54D8">
        <w:rPr>
          <w:rFonts w:ascii="Garamond" w:hAnsi="Garamond"/>
          <w:color w:val="4F81BD" w:themeColor="accent1"/>
        </w:rPr>
        <w:t>Zuhroh</w:t>
      </w:r>
      <w:proofErr w:type="spellEnd"/>
      <w:r w:rsidRPr="00CC54D8">
        <w:rPr>
          <w:rFonts w:ascii="Garamond" w:hAnsi="Garamond"/>
          <w:color w:val="4F81BD" w:themeColor="accent1"/>
        </w:rPr>
        <w:t xml:space="preserve"> et al., 2024)</w:t>
      </w:r>
      <w:r w:rsidRPr="00CC54D8">
        <w:rPr>
          <w:rFonts w:ascii="Garamond" w:hAnsi="Garamond"/>
          <w:color w:val="000000"/>
        </w:rPr>
        <w:t xml:space="preserve">, most studies fail to integrate online and offline experiences into a unified framework. Future research should extend service-dominant logic into omnichannel contexts by developing conceptual models that integrate physical and digital touchpoints, testing the relative salience of each on loyalty outcomes, and examining generational differences in digital engagement and loyalty </w:t>
      </w:r>
      <w:proofErr w:type="spellStart"/>
      <w:r w:rsidRPr="00CC54D8">
        <w:rPr>
          <w:rFonts w:ascii="Garamond" w:hAnsi="Garamond"/>
          <w:color w:val="000000"/>
        </w:rPr>
        <w:t>behavior</w:t>
      </w:r>
      <w:proofErr w:type="spellEnd"/>
      <w:r w:rsidRPr="00CC54D8">
        <w:rPr>
          <w:rFonts w:ascii="Garamond" w:hAnsi="Garamond"/>
          <w:color w:val="000000"/>
        </w:rPr>
        <w:t>.</w:t>
      </w:r>
    </w:p>
    <w:p w14:paraId="53D542EC" w14:textId="77777777" w:rsidR="00CC54D8" w:rsidRDefault="00CC54D8" w:rsidP="00CC54D8">
      <w:pPr>
        <w:ind w:firstLine="720"/>
        <w:jc w:val="both"/>
        <w:rPr>
          <w:rFonts w:ascii="Garamond" w:hAnsi="Garamond"/>
          <w:color w:val="000000"/>
        </w:rPr>
      </w:pPr>
    </w:p>
    <w:p w14:paraId="0EAA0F5F" w14:textId="5CD8D0D6" w:rsidR="00CC54D8" w:rsidRPr="00CC54D8" w:rsidRDefault="004E2AF9" w:rsidP="004E2AF9">
      <w:pPr>
        <w:jc w:val="center"/>
        <w:rPr>
          <w:rFonts w:ascii="Garamond" w:hAnsi="Garamond"/>
          <w:color w:val="000000"/>
        </w:rPr>
      </w:pPr>
      <w:r>
        <w:rPr>
          <w:rFonts w:ascii="Garamond" w:hAnsi="Garamond"/>
          <w:noProof/>
          <w:color w:val="000000"/>
        </w:rPr>
        <w:drawing>
          <wp:inline distT="0" distB="0" distL="0" distR="0" wp14:anchorId="04D07B5C" wp14:editId="11DEBF02">
            <wp:extent cx="6188710" cy="1581785"/>
            <wp:effectExtent l="0" t="0" r="2540" b="0"/>
            <wp:docPr id="1139451046" name="Picture 2" descr="A group of rectang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51046" name="Picture 2" descr="A group of rectangular objects&#10;&#10;AI-generated content may be incorrect."/>
                    <pic:cNvPicPr/>
                  </pic:nvPicPr>
                  <pic:blipFill>
                    <a:blip r:embed="rId13"/>
                    <a:stretch>
                      <a:fillRect/>
                    </a:stretch>
                  </pic:blipFill>
                  <pic:spPr>
                    <a:xfrm>
                      <a:off x="0" y="0"/>
                      <a:ext cx="6188710" cy="1581785"/>
                    </a:xfrm>
                    <a:prstGeom prst="rect">
                      <a:avLst/>
                    </a:prstGeom>
                  </pic:spPr>
                </pic:pic>
              </a:graphicData>
            </a:graphic>
          </wp:inline>
        </w:drawing>
      </w:r>
    </w:p>
    <w:p w14:paraId="41BBA639" w14:textId="77777777" w:rsidR="00CC54D8" w:rsidRDefault="00CC54D8" w:rsidP="00847AC3">
      <w:pPr>
        <w:ind w:firstLine="720"/>
        <w:jc w:val="both"/>
        <w:rPr>
          <w:rFonts w:ascii="Garamond" w:hAnsi="Garamond"/>
          <w:color w:val="000000"/>
        </w:rPr>
      </w:pPr>
    </w:p>
    <w:p w14:paraId="71904803" w14:textId="39396F1D" w:rsidR="004E2AF9" w:rsidRPr="004E2AF9" w:rsidRDefault="004E2AF9" w:rsidP="004E2AF9">
      <w:pPr>
        <w:jc w:val="both"/>
        <w:rPr>
          <w:rFonts w:ascii="Garamond" w:hAnsi="Garamond"/>
          <w:b/>
          <w:bCs/>
          <w:color w:val="000000"/>
        </w:rPr>
      </w:pPr>
      <w:r>
        <w:rPr>
          <w:rFonts w:ascii="Garamond" w:hAnsi="Garamond"/>
          <w:b/>
          <w:bCs/>
          <w:color w:val="000000"/>
        </w:rPr>
        <w:t xml:space="preserve">3.2. </w:t>
      </w:r>
      <w:r w:rsidRPr="004E2AF9">
        <w:rPr>
          <w:rFonts w:ascii="Garamond" w:hAnsi="Garamond"/>
          <w:b/>
          <w:bCs/>
          <w:color w:val="000000"/>
        </w:rPr>
        <w:t>Service Quality</w:t>
      </w:r>
      <w:r>
        <w:rPr>
          <w:rFonts w:ascii="Garamond" w:hAnsi="Garamond"/>
          <w:b/>
          <w:bCs/>
          <w:color w:val="000000"/>
        </w:rPr>
        <w:t xml:space="preserve"> (</w:t>
      </w:r>
      <w:r w:rsidRPr="004E2AF9">
        <w:rPr>
          <w:rFonts w:ascii="Garamond" w:hAnsi="Garamond"/>
          <w:b/>
          <w:bCs/>
          <w:color w:val="000000"/>
        </w:rPr>
        <w:t>Expanding Scope and Mediating Mechanisms</w:t>
      </w:r>
      <w:r>
        <w:rPr>
          <w:rFonts w:ascii="Garamond" w:hAnsi="Garamond"/>
          <w:b/>
          <w:bCs/>
          <w:color w:val="000000"/>
        </w:rPr>
        <w:t>)</w:t>
      </w:r>
    </w:p>
    <w:p w14:paraId="0951D6FB" w14:textId="77777777" w:rsidR="004E2AF9" w:rsidRDefault="004E2AF9" w:rsidP="004E2AF9">
      <w:pPr>
        <w:ind w:firstLine="720"/>
        <w:jc w:val="both"/>
        <w:rPr>
          <w:rFonts w:ascii="Garamond" w:hAnsi="Garamond"/>
          <w:color w:val="000000"/>
        </w:rPr>
      </w:pPr>
    </w:p>
    <w:p w14:paraId="47279E5D" w14:textId="51BAE0E0" w:rsidR="004E2AF9" w:rsidRPr="004E2AF9" w:rsidRDefault="004E2AF9" w:rsidP="004E2AF9">
      <w:pPr>
        <w:ind w:firstLine="720"/>
        <w:jc w:val="both"/>
        <w:rPr>
          <w:rFonts w:ascii="Garamond" w:hAnsi="Garamond"/>
          <w:color w:val="000000"/>
        </w:rPr>
      </w:pPr>
      <w:r w:rsidRPr="004E2AF9">
        <w:rPr>
          <w:rFonts w:ascii="Garamond" w:hAnsi="Garamond"/>
          <w:color w:val="000000"/>
        </w:rPr>
        <w:t xml:space="preserve">Service quality remains the most frequently examined determinant of consumer satisfaction and loyalty in Indonesia’s fast-food sector, consistently showing a positive and significant effect </w:t>
      </w:r>
      <w:r w:rsidRPr="004E2AF9">
        <w:rPr>
          <w:rFonts w:ascii="Garamond" w:hAnsi="Garamond"/>
          <w:color w:val="4F81BD" w:themeColor="accent1"/>
        </w:rPr>
        <w:t xml:space="preserve">(Zeithaml et al., 1996; </w:t>
      </w:r>
      <w:proofErr w:type="spellStart"/>
      <w:r w:rsidRPr="004E2AF9">
        <w:rPr>
          <w:rFonts w:ascii="Garamond" w:hAnsi="Garamond"/>
          <w:color w:val="4F81BD" w:themeColor="accent1"/>
        </w:rPr>
        <w:t>Djakasaputra</w:t>
      </w:r>
      <w:proofErr w:type="spellEnd"/>
      <w:r w:rsidRPr="004E2AF9">
        <w:rPr>
          <w:rFonts w:ascii="Garamond" w:hAnsi="Garamond"/>
          <w:color w:val="4F81BD" w:themeColor="accent1"/>
        </w:rPr>
        <w:t xml:space="preserve"> et al., 2021; Sahir et al., 2021)</w:t>
      </w:r>
      <w:r w:rsidRPr="004E2AF9">
        <w:rPr>
          <w:rFonts w:ascii="Garamond" w:hAnsi="Garamond"/>
          <w:color w:val="000000"/>
        </w:rPr>
        <w:t xml:space="preserve">. Across the reviewed studies, attributes such as speed of service, accuracy of order </w:t>
      </w:r>
      <w:proofErr w:type="spellStart"/>
      <w:r w:rsidRPr="004E2AF9">
        <w:rPr>
          <w:rFonts w:ascii="Garamond" w:hAnsi="Garamond"/>
          <w:color w:val="000000"/>
        </w:rPr>
        <w:t>fulfillment</w:t>
      </w:r>
      <w:proofErr w:type="spellEnd"/>
      <w:r w:rsidRPr="004E2AF9">
        <w:rPr>
          <w:rFonts w:ascii="Garamond" w:hAnsi="Garamond"/>
          <w:color w:val="000000"/>
        </w:rPr>
        <w:t xml:space="preserve">, cleanliness, and staff friendliness emerged as critical drivers of customer satisfaction. Recent studies </w:t>
      </w:r>
      <w:r w:rsidRPr="004E2AF9">
        <w:rPr>
          <w:rFonts w:ascii="Garamond" w:hAnsi="Garamond"/>
          <w:color w:val="4F81BD" w:themeColor="accent1"/>
        </w:rPr>
        <w:t xml:space="preserve">(Zhong &amp; Moon, 2020; </w:t>
      </w:r>
      <w:proofErr w:type="spellStart"/>
      <w:r w:rsidRPr="004E2AF9">
        <w:rPr>
          <w:rFonts w:ascii="Garamond" w:hAnsi="Garamond"/>
          <w:color w:val="4F81BD" w:themeColor="accent1"/>
        </w:rPr>
        <w:t>Sutia</w:t>
      </w:r>
      <w:proofErr w:type="spellEnd"/>
      <w:r w:rsidRPr="004E2AF9">
        <w:rPr>
          <w:rFonts w:ascii="Garamond" w:hAnsi="Garamond"/>
          <w:color w:val="4F81BD" w:themeColor="accent1"/>
        </w:rPr>
        <w:t xml:space="preserve"> et al., 2019)</w:t>
      </w:r>
      <w:r w:rsidRPr="004E2AF9">
        <w:rPr>
          <w:rFonts w:ascii="Garamond" w:hAnsi="Garamond"/>
          <w:color w:val="000000"/>
        </w:rPr>
        <w:t xml:space="preserve"> also highlight the growing importance of digital ordering and food delivery platforms, where service quality expectations extend to app usability, delivery timeliness, and order tracking.</w:t>
      </w:r>
    </w:p>
    <w:p w14:paraId="55F3389D" w14:textId="0224605C" w:rsidR="004E2AF9" w:rsidRPr="004E2AF9" w:rsidRDefault="004E2AF9" w:rsidP="004E2AF9">
      <w:pPr>
        <w:ind w:firstLine="720"/>
        <w:jc w:val="both"/>
        <w:rPr>
          <w:rFonts w:ascii="Garamond" w:hAnsi="Garamond"/>
          <w:color w:val="000000"/>
        </w:rPr>
      </w:pPr>
      <w:r w:rsidRPr="004E2AF9">
        <w:rPr>
          <w:rFonts w:ascii="Garamond" w:hAnsi="Garamond"/>
          <w:color w:val="000000"/>
        </w:rPr>
        <w:t>However, while the direct effects of service quality on satisfaction and loyalty are well-documented, empirical exploration of indirect pathways</w:t>
      </w:r>
      <w:r w:rsidR="002A5DF6">
        <w:rPr>
          <w:rFonts w:ascii="Garamond" w:hAnsi="Garamond"/>
          <w:color w:val="000000"/>
        </w:rPr>
        <w:t xml:space="preserve">, </w:t>
      </w:r>
      <w:r w:rsidRPr="004E2AF9">
        <w:rPr>
          <w:rFonts w:ascii="Garamond" w:hAnsi="Garamond"/>
          <w:color w:val="000000"/>
        </w:rPr>
        <w:t>particularly via WOM or digital experience quality</w:t>
      </w:r>
      <w:r w:rsidR="002A5DF6">
        <w:rPr>
          <w:rFonts w:ascii="Garamond" w:hAnsi="Garamond"/>
          <w:color w:val="000000"/>
        </w:rPr>
        <w:t xml:space="preserve">, </w:t>
      </w:r>
      <w:r w:rsidRPr="004E2AF9">
        <w:rPr>
          <w:rFonts w:ascii="Garamond" w:hAnsi="Garamond"/>
          <w:color w:val="000000"/>
        </w:rPr>
        <w:t xml:space="preserve">remains limited. Only a small subset of studies (e.g., </w:t>
      </w:r>
      <w:proofErr w:type="spellStart"/>
      <w:r w:rsidRPr="004E2AF9">
        <w:rPr>
          <w:rFonts w:ascii="Garamond" w:hAnsi="Garamond"/>
          <w:color w:val="4F81BD" w:themeColor="accent1"/>
        </w:rPr>
        <w:t>Sutia</w:t>
      </w:r>
      <w:proofErr w:type="spellEnd"/>
      <w:r w:rsidRPr="004E2AF9">
        <w:rPr>
          <w:rFonts w:ascii="Garamond" w:hAnsi="Garamond"/>
          <w:color w:val="4F81BD" w:themeColor="accent1"/>
        </w:rPr>
        <w:t xml:space="preserve"> et al., 2019</w:t>
      </w:r>
      <w:r w:rsidRPr="004E2AF9">
        <w:rPr>
          <w:rFonts w:ascii="Garamond" w:hAnsi="Garamond"/>
          <w:color w:val="000000"/>
        </w:rPr>
        <w:t xml:space="preserve">) considered the mediating role of WOM in linking service quality to loyalty, suggesting a critical gap. Moreover, existing research tends to treat service quality as a static construct rooted in SERVQUAL’s original five dimensions, despite evidence that digital and omnichannel contexts introduce new expectations </w:t>
      </w:r>
      <w:r w:rsidRPr="004E2AF9">
        <w:rPr>
          <w:rFonts w:ascii="Garamond" w:hAnsi="Garamond"/>
          <w:color w:val="4F81BD" w:themeColor="accent1"/>
        </w:rPr>
        <w:t>(Zeithaml et al., 1996)</w:t>
      </w:r>
      <w:r w:rsidRPr="004E2AF9">
        <w:rPr>
          <w:rFonts w:ascii="Garamond" w:hAnsi="Garamond"/>
          <w:color w:val="000000"/>
        </w:rPr>
        <w:t>. Future studies should extend the conceptualization of service quality to encompass digital touchpoints and examine how these interact with traditional service encounters to shape satisfaction and loyalty outcomes.</w:t>
      </w:r>
    </w:p>
    <w:p w14:paraId="6ECFCF46" w14:textId="6B688080" w:rsidR="004E2AF9" w:rsidRPr="004E2AF9" w:rsidRDefault="004E2AF9" w:rsidP="004E2AF9">
      <w:pPr>
        <w:ind w:firstLine="720"/>
        <w:jc w:val="both"/>
        <w:rPr>
          <w:rFonts w:ascii="Garamond" w:hAnsi="Garamond"/>
          <w:color w:val="000000"/>
        </w:rPr>
      </w:pPr>
    </w:p>
    <w:p w14:paraId="354FB461" w14:textId="7CB7EF7E" w:rsidR="004E2AF9" w:rsidRPr="004E2AF9" w:rsidRDefault="004E2AF9" w:rsidP="004E2AF9">
      <w:pPr>
        <w:jc w:val="both"/>
        <w:rPr>
          <w:rFonts w:ascii="Garamond" w:hAnsi="Garamond"/>
          <w:b/>
          <w:bCs/>
          <w:color w:val="000000"/>
        </w:rPr>
      </w:pPr>
      <w:r>
        <w:rPr>
          <w:rFonts w:ascii="Garamond" w:hAnsi="Garamond"/>
          <w:b/>
          <w:bCs/>
          <w:color w:val="000000"/>
        </w:rPr>
        <w:t xml:space="preserve">3.3. </w:t>
      </w:r>
      <w:r w:rsidRPr="004E2AF9">
        <w:rPr>
          <w:rFonts w:ascii="Garamond" w:hAnsi="Garamond"/>
          <w:b/>
          <w:bCs/>
          <w:color w:val="000000"/>
        </w:rPr>
        <w:t>Price Fairness</w:t>
      </w:r>
      <w:r>
        <w:rPr>
          <w:rFonts w:ascii="Garamond" w:hAnsi="Garamond"/>
          <w:b/>
          <w:bCs/>
          <w:color w:val="000000"/>
        </w:rPr>
        <w:t xml:space="preserve"> (</w:t>
      </w:r>
      <w:r w:rsidRPr="004E2AF9">
        <w:rPr>
          <w:rFonts w:ascii="Garamond" w:hAnsi="Garamond"/>
          <w:b/>
          <w:bCs/>
          <w:color w:val="000000"/>
        </w:rPr>
        <w:t>Mixed Findings and Contextual Nuances</w:t>
      </w:r>
      <w:r>
        <w:rPr>
          <w:rFonts w:ascii="Garamond" w:hAnsi="Garamond"/>
          <w:b/>
          <w:bCs/>
          <w:color w:val="000000"/>
        </w:rPr>
        <w:t>)</w:t>
      </w:r>
    </w:p>
    <w:p w14:paraId="341CD8EE" w14:textId="77777777" w:rsidR="004E2AF9" w:rsidRDefault="004E2AF9" w:rsidP="004E2AF9">
      <w:pPr>
        <w:ind w:firstLine="720"/>
        <w:jc w:val="both"/>
        <w:rPr>
          <w:rFonts w:ascii="Garamond" w:hAnsi="Garamond"/>
          <w:color w:val="000000"/>
        </w:rPr>
      </w:pPr>
    </w:p>
    <w:p w14:paraId="4DC7C222" w14:textId="26A21C1A" w:rsidR="004E2AF9" w:rsidRPr="004E2AF9" w:rsidRDefault="004E2AF9" w:rsidP="004E2AF9">
      <w:pPr>
        <w:ind w:firstLine="720"/>
        <w:jc w:val="both"/>
        <w:rPr>
          <w:rFonts w:ascii="Garamond" w:hAnsi="Garamond"/>
          <w:color w:val="000000"/>
        </w:rPr>
      </w:pPr>
      <w:r w:rsidRPr="004E2AF9">
        <w:rPr>
          <w:rFonts w:ascii="Garamond" w:hAnsi="Garamond"/>
          <w:color w:val="000000"/>
        </w:rPr>
        <w:t xml:space="preserve">Price fairness, operationalized as the perceived reasonableness of price relative to value, competition, and market norms </w:t>
      </w:r>
      <w:r w:rsidRPr="004E2AF9">
        <w:rPr>
          <w:rFonts w:ascii="Garamond" w:hAnsi="Garamond"/>
          <w:color w:val="4F81BD" w:themeColor="accent1"/>
        </w:rPr>
        <w:t>(Iyer et al., 2016)</w:t>
      </w:r>
      <w:r w:rsidRPr="004E2AF9">
        <w:rPr>
          <w:rFonts w:ascii="Garamond" w:hAnsi="Garamond"/>
          <w:color w:val="000000"/>
        </w:rPr>
        <w:t xml:space="preserve">, emerged as another salient but contested determinant of consumer </w:t>
      </w:r>
      <w:proofErr w:type="spellStart"/>
      <w:r w:rsidRPr="004E2AF9">
        <w:rPr>
          <w:rFonts w:ascii="Garamond" w:hAnsi="Garamond"/>
          <w:color w:val="000000"/>
        </w:rPr>
        <w:t>behavior</w:t>
      </w:r>
      <w:proofErr w:type="spellEnd"/>
      <w:r w:rsidRPr="004E2AF9">
        <w:rPr>
          <w:rFonts w:ascii="Garamond" w:hAnsi="Garamond"/>
          <w:color w:val="000000"/>
        </w:rPr>
        <w:t xml:space="preserve">. Several studies </w:t>
      </w:r>
      <w:r w:rsidRPr="004E2AF9">
        <w:rPr>
          <w:rFonts w:ascii="Garamond" w:hAnsi="Garamond"/>
          <w:color w:val="4F81BD" w:themeColor="accent1"/>
        </w:rPr>
        <w:t xml:space="preserve">(Ryu &amp; Han, 2010; </w:t>
      </w:r>
      <w:proofErr w:type="spellStart"/>
      <w:r w:rsidRPr="004E2AF9">
        <w:rPr>
          <w:rFonts w:ascii="Garamond" w:hAnsi="Garamond"/>
          <w:color w:val="4F81BD" w:themeColor="accent1"/>
        </w:rPr>
        <w:t>Meiryani</w:t>
      </w:r>
      <w:proofErr w:type="spellEnd"/>
      <w:r w:rsidRPr="004E2AF9">
        <w:rPr>
          <w:rFonts w:ascii="Garamond" w:hAnsi="Garamond"/>
          <w:color w:val="4F81BD" w:themeColor="accent1"/>
        </w:rPr>
        <w:t xml:space="preserve"> et al., 2022; Li et al., 2020) </w:t>
      </w:r>
      <w:r w:rsidRPr="004E2AF9">
        <w:rPr>
          <w:rFonts w:ascii="Garamond" w:hAnsi="Garamond"/>
          <w:color w:val="000000"/>
        </w:rPr>
        <w:t>affirm that fair pricing positively influences satisfaction and loyalty, whereas others suggest its effects are weaker and mediated by value perceptions or service quality. This inconsistency indicates that the relationship may be context-dependent, moderated by factors such as brand type (local vs. international), consumer price sensitivity, and market segment.</w:t>
      </w:r>
    </w:p>
    <w:p w14:paraId="036F647A" w14:textId="05C80225" w:rsidR="004E2AF9" w:rsidRPr="004E2AF9" w:rsidRDefault="004E2AF9" w:rsidP="004E2AF9">
      <w:pPr>
        <w:ind w:firstLine="720"/>
        <w:jc w:val="both"/>
        <w:rPr>
          <w:rFonts w:ascii="Garamond" w:hAnsi="Garamond"/>
          <w:color w:val="000000"/>
        </w:rPr>
      </w:pPr>
      <w:r w:rsidRPr="004E2AF9">
        <w:rPr>
          <w:rFonts w:ascii="Garamond" w:hAnsi="Garamond"/>
          <w:color w:val="000000"/>
        </w:rPr>
        <w:t xml:space="preserve">Notably, no reviewed study comprehensively addressed how consumers’ reference prices are influenced by the proliferation of digital delivery platforms, which often feature dynamic pricing, discounts, and delivery fees. In Indonesia’s highly price-sensitive market, where consumers frequently compare prices across brands and platforms, this omission is significant </w:t>
      </w:r>
      <w:r w:rsidRPr="004E2AF9">
        <w:rPr>
          <w:rFonts w:ascii="Garamond" w:hAnsi="Garamond"/>
          <w:color w:val="4F81BD" w:themeColor="accent1"/>
        </w:rPr>
        <w:t xml:space="preserve">(Li et al., 2020; </w:t>
      </w:r>
      <w:proofErr w:type="spellStart"/>
      <w:r w:rsidRPr="004E2AF9">
        <w:rPr>
          <w:rFonts w:ascii="Garamond" w:hAnsi="Garamond"/>
          <w:color w:val="4F81BD" w:themeColor="accent1"/>
        </w:rPr>
        <w:t>Meiryani</w:t>
      </w:r>
      <w:proofErr w:type="spellEnd"/>
      <w:r w:rsidRPr="004E2AF9">
        <w:rPr>
          <w:rFonts w:ascii="Garamond" w:hAnsi="Garamond"/>
          <w:color w:val="4F81BD" w:themeColor="accent1"/>
        </w:rPr>
        <w:t xml:space="preserve"> et al., 2022)</w:t>
      </w:r>
      <w:r w:rsidRPr="004E2AF9">
        <w:rPr>
          <w:rFonts w:ascii="Garamond" w:hAnsi="Garamond"/>
          <w:color w:val="000000"/>
        </w:rPr>
        <w:t>. Future research should therefore investigate how digital price transparency, platform-driven promotions, and perceived fairness interact to shape satisfaction, WOM, and loyalty. Moreover, research that explicitly models the interaction between price fairness and service quality</w:t>
      </w:r>
      <w:r w:rsidR="002A5DF6">
        <w:rPr>
          <w:rFonts w:ascii="Garamond" w:hAnsi="Garamond"/>
          <w:color w:val="000000"/>
        </w:rPr>
        <w:t xml:space="preserve">, </w:t>
      </w:r>
      <w:r w:rsidRPr="004E2AF9">
        <w:rPr>
          <w:rFonts w:ascii="Garamond" w:hAnsi="Garamond"/>
          <w:color w:val="000000"/>
        </w:rPr>
        <w:t xml:space="preserve">as suggested by </w:t>
      </w:r>
      <w:r w:rsidRPr="004E2AF9">
        <w:rPr>
          <w:rFonts w:ascii="Garamond" w:hAnsi="Garamond"/>
          <w:color w:val="4F81BD" w:themeColor="accent1"/>
        </w:rPr>
        <w:t>Iyer et al. (2016)</w:t>
      </w:r>
      <w:r w:rsidR="002A5DF6">
        <w:rPr>
          <w:rFonts w:ascii="Garamond" w:hAnsi="Garamond"/>
          <w:color w:val="000000"/>
        </w:rPr>
        <w:t xml:space="preserve">, </w:t>
      </w:r>
      <w:r w:rsidRPr="004E2AF9">
        <w:rPr>
          <w:rFonts w:ascii="Garamond" w:hAnsi="Garamond"/>
          <w:color w:val="000000"/>
        </w:rPr>
        <w:t>is largely absent and should be prioritized.</w:t>
      </w:r>
    </w:p>
    <w:p w14:paraId="5C4CA6E4" w14:textId="77777777" w:rsidR="004E2AF9" w:rsidRDefault="004E2AF9" w:rsidP="004E2AF9">
      <w:pPr>
        <w:jc w:val="both"/>
        <w:rPr>
          <w:rFonts w:ascii="Garamond" w:hAnsi="Garamond"/>
          <w:color w:val="000000"/>
        </w:rPr>
      </w:pPr>
    </w:p>
    <w:p w14:paraId="1A6B119C" w14:textId="5D2317B4" w:rsidR="004E2AF9" w:rsidRPr="004E2AF9" w:rsidRDefault="004E2AF9" w:rsidP="004E2AF9">
      <w:pPr>
        <w:jc w:val="both"/>
        <w:rPr>
          <w:rFonts w:ascii="Garamond" w:hAnsi="Garamond"/>
          <w:b/>
          <w:bCs/>
          <w:color w:val="000000"/>
        </w:rPr>
      </w:pPr>
      <w:r w:rsidRPr="004E2AF9">
        <w:rPr>
          <w:rFonts w:ascii="Garamond" w:hAnsi="Garamond"/>
          <w:b/>
          <w:bCs/>
          <w:color w:val="000000"/>
        </w:rPr>
        <w:t xml:space="preserve">3.4. </w:t>
      </w:r>
      <w:r w:rsidRPr="004E2AF9">
        <w:rPr>
          <w:rFonts w:ascii="Garamond" w:hAnsi="Garamond"/>
          <w:b/>
          <w:bCs/>
          <w:color w:val="000000"/>
        </w:rPr>
        <w:t>Consumer Satisfaction</w:t>
      </w:r>
      <w:r>
        <w:rPr>
          <w:rFonts w:ascii="Garamond" w:hAnsi="Garamond"/>
          <w:b/>
          <w:bCs/>
          <w:color w:val="000000"/>
        </w:rPr>
        <w:t xml:space="preserve"> (</w:t>
      </w:r>
      <w:r w:rsidRPr="004E2AF9">
        <w:rPr>
          <w:rFonts w:ascii="Garamond" w:hAnsi="Garamond"/>
          <w:b/>
          <w:bCs/>
          <w:color w:val="000000"/>
        </w:rPr>
        <w:t>Underexplored Mediator and Outcome</w:t>
      </w:r>
      <w:r>
        <w:rPr>
          <w:rFonts w:ascii="Garamond" w:hAnsi="Garamond"/>
          <w:b/>
          <w:bCs/>
          <w:color w:val="000000"/>
        </w:rPr>
        <w:t>)</w:t>
      </w:r>
    </w:p>
    <w:p w14:paraId="2D237D0B" w14:textId="77777777" w:rsidR="004E2AF9" w:rsidRDefault="004E2AF9" w:rsidP="004E2AF9">
      <w:pPr>
        <w:ind w:firstLine="720"/>
        <w:jc w:val="both"/>
        <w:rPr>
          <w:rFonts w:ascii="Garamond" w:hAnsi="Garamond"/>
          <w:color w:val="000000"/>
        </w:rPr>
      </w:pPr>
    </w:p>
    <w:p w14:paraId="4EBCB2B2" w14:textId="7B1B464F" w:rsidR="004E2AF9" w:rsidRPr="004E2AF9" w:rsidRDefault="004E2AF9" w:rsidP="004E2AF9">
      <w:pPr>
        <w:ind w:firstLine="720"/>
        <w:jc w:val="both"/>
        <w:rPr>
          <w:rFonts w:ascii="Garamond" w:hAnsi="Garamond"/>
          <w:color w:val="000000"/>
        </w:rPr>
      </w:pPr>
      <w:r w:rsidRPr="004E2AF9">
        <w:rPr>
          <w:rFonts w:ascii="Garamond" w:hAnsi="Garamond"/>
          <w:color w:val="000000"/>
        </w:rPr>
        <w:t xml:space="preserve">Consumer satisfaction is widely acknowledged as a key mediating variable in the relationship between service quality, price fairness, and loyalty </w:t>
      </w:r>
      <w:r w:rsidRPr="004E2AF9">
        <w:rPr>
          <w:rFonts w:ascii="Garamond" w:hAnsi="Garamond"/>
          <w:color w:val="4F81BD" w:themeColor="accent1"/>
        </w:rPr>
        <w:t xml:space="preserve">(Flavián et al., 2006; </w:t>
      </w:r>
      <w:proofErr w:type="spellStart"/>
      <w:r w:rsidRPr="004E2AF9">
        <w:rPr>
          <w:rFonts w:ascii="Garamond" w:hAnsi="Garamond"/>
          <w:color w:val="4F81BD" w:themeColor="accent1"/>
        </w:rPr>
        <w:t>Aulia</w:t>
      </w:r>
      <w:proofErr w:type="spellEnd"/>
      <w:r w:rsidRPr="004E2AF9">
        <w:rPr>
          <w:rFonts w:ascii="Garamond" w:hAnsi="Garamond"/>
          <w:color w:val="4F81BD" w:themeColor="accent1"/>
        </w:rPr>
        <w:t xml:space="preserve"> et al., 2021; </w:t>
      </w:r>
      <w:proofErr w:type="spellStart"/>
      <w:r w:rsidRPr="004E2AF9">
        <w:rPr>
          <w:rFonts w:ascii="Garamond" w:hAnsi="Garamond"/>
          <w:color w:val="4F81BD" w:themeColor="accent1"/>
        </w:rPr>
        <w:t>Juwaini</w:t>
      </w:r>
      <w:proofErr w:type="spellEnd"/>
      <w:r w:rsidRPr="004E2AF9">
        <w:rPr>
          <w:rFonts w:ascii="Garamond" w:hAnsi="Garamond"/>
          <w:color w:val="4F81BD" w:themeColor="accent1"/>
        </w:rPr>
        <w:t xml:space="preserve"> et al., </w:t>
      </w:r>
      <w:r w:rsidRPr="004E2AF9">
        <w:rPr>
          <w:rFonts w:ascii="Garamond" w:hAnsi="Garamond"/>
          <w:color w:val="4F81BD" w:themeColor="accent1"/>
        </w:rPr>
        <w:lastRenderedPageBreak/>
        <w:t>2022)</w:t>
      </w:r>
      <w:r w:rsidRPr="004E2AF9">
        <w:rPr>
          <w:rFonts w:ascii="Garamond" w:hAnsi="Garamond"/>
          <w:color w:val="000000"/>
        </w:rPr>
        <w:t xml:space="preserve">. The reviewed studies generally support this mediating role, showing that high service quality and fair pricing enhance satisfaction, which in turn strengthens WOM and loyalty </w:t>
      </w:r>
      <w:r w:rsidRPr="004E2AF9">
        <w:rPr>
          <w:rFonts w:ascii="Garamond" w:hAnsi="Garamond"/>
          <w:color w:val="4F81BD" w:themeColor="accent1"/>
        </w:rPr>
        <w:t>(Sahir et al., 2021; Zhong &amp; Moon, 2020)</w:t>
      </w:r>
      <w:r w:rsidRPr="004E2AF9">
        <w:rPr>
          <w:rFonts w:ascii="Garamond" w:hAnsi="Garamond"/>
          <w:color w:val="000000"/>
        </w:rPr>
        <w:t>. However, few studies explicitly tested and quantified the strength of satisfaction as a mediator in multivariate models.</w:t>
      </w:r>
      <w:r>
        <w:rPr>
          <w:rFonts w:ascii="Garamond" w:hAnsi="Garamond"/>
          <w:color w:val="000000"/>
        </w:rPr>
        <w:t xml:space="preserve"> </w:t>
      </w:r>
      <w:r w:rsidRPr="004E2AF9">
        <w:rPr>
          <w:rFonts w:ascii="Garamond" w:hAnsi="Garamond"/>
          <w:color w:val="000000"/>
        </w:rPr>
        <w:t xml:space="preserve">Furthermore, while satisfaction has been studied extensively in offline settings, its role in shaping consumer </w:t>
      </w:r>
      <w:proofErr w:type="spellStart"/>
      <w:r w:rsidRPr="004E2AF9">
        <w:rPr>
          <w:rFonts w:ascii="Garamond" w:hAnsi="Garamond"/>
          <w:color w:val="000000"/>
        </w:rPr>
        <w:t>behavior</w:t>
      </w:r>
      <w:proofErr w:type="spellEnd"/>
      <w:r w:rsidRPr="004E2AF9">
        <w:rPr>
          <w:rFonts w:ascii="Garamond" w:hAnsi="Garamond"/>
          <w:color w:val="000000"/>
        </w:rPr>
        <w:t xml:space="preserve"> in online delivery contexts remains underexplored. Given the growing importance of digital ordering in Indonesia’s fast-food sector, future research should examine how satisfaction is shaped differently in dine-in versus digital experiences and whether its mediating role differs across channels. Longitudinal designs could also provide insights into the stability of satisfaction and its predictive power for loyalty over time.</w:t>
      </w:r>
    </w:p>
    <w:p w14:paraId="38202F01" w14:textId="606551A3" w:rsidR="004E2AF9" w:rsidRPr="004E2AF9" w:rsidRDefault="004E2AF9" w:rsidP="004E2AF9">
      <w:pPr>
        <w:ind w:firstLine="720"/>
        <w:jc w:val="both"/>
        <w:rPr>
          <w:rFonts w:ascii="Garamond" w:hAnsi="Garamond"/>
          <w:color w:val="000000"/>
        </w:rPr>
      </w:pPr>
    </w:p>
    <w:p w14:paraId="45B8191F" w14:textId="2D8E426E" w:rsidR="004E2AF9" w:rsidRPr="004E2AF9" w:rsidRDefault="004E2AF9" w:rsidP="004E2AF9">
      <w:pPr>
        <w:jc w:val="both"/>
        <w:rPr>
          <w:rFonts w:ascii="Garamond" w:hAnsi="Garamond"/>
          <w:b/>
          <w:bCs/>
          <w:color w:val="000000"/>
        </w:rPr>
      </w:pPr>
      <w:r>
        <w:rPr>
          <w:rFonts w:ascii="Garamond" w:hAnsi="Garamond"/>
          <w:b/>
          <w:bCs/>
          <w:color w:val="000000"/>
        </w:rPr>
        <w:t xml:space="preserve">3.5. </w:t>
      </w:r>
      <w:r w:rsidRPr="004E2AF9">
        <w:rPr>
          <w:rFonts w:ascii="Garamond" w:hAnsi="Garamond"/>
          <w:b/>
          <w:bCs/>
          <w:color w:val="000000"/>
        </w:rPr>
        <w:t>Word-of-Mouth (WOM)</w:t>
      </w:r>
      <w:r>
        <w:rPr>
          <w:rFonts w:ascii="Garamond" w:hAnsi="Garamond"/>
          <w:b/>
          <w:bCs/>
          <w:color w:val="000000"/>
        </w:rPr>
        <w:t xml:space="preserve"> (</w:t>
      </w:r>
      <w:r w:rsidRPr="004E2AF9">
        <w:rPr>
          <w:rFonts w:ascii="Garamond" w:hAnsi="Garamond"/>
          <w:b/>
          <w:bCs/>
          <w:color w:val="000000"/>
        </w:rPr>
        <w:t>A Neglected Mediator in Digital Contexts</w:t>
      </w:r>
      <w:r>
        <w:rPr>
          <w:rFonts w:ascii="Garamond" w:hAnsi="Garamond"/>
          <w:b/>
          <w:bCs/>
          <w:color w:val="000000"/>
        </w:rPr>
        <w:t>)</w:t>
      </w:r>
    </w:p>
    <w:p w14:paraId="4BCC02A4" w14:textId="77777777" w:rsidR="004E2AF9" w:rsidRDefault="004E2AF9" w:rsidP="004E2AF9">
      <w:pPr>
        <w:ind w:firstLine="720"/>
        <w:jc w:val="both"/>
        <w:rPr>
          <w:rFonts w:ascii="Garamond" w:hAnsi="Garamond"/>
          <w:color w:val="000000"/>
        </w:rPr>
      </w:pPr>
    </w:p>
    <w:p w14:paraId="590FB210" w14:textId="236012FF" w:rsidR="004E2AF9" w:rsidRPr="004E2AF9" w:rsidRDefault="004E2AF9" w:rsidP="004E2AF9">
      <w:pPr>
        <w:ind w:firstLine="720"/>
        <w:jc w:val="both"/>
        <w:rPr>
          <w:rFonts w:ascii="Garamond" w:hAnsi="Garamond"/>
          <w:color w:val="000000"/>
        </w:rPr>
      </w:pPr>
      <w:r w:rsidRPr="004E2AF9">
        <w:rPr>
          <w:rFonts w:ascii="Garamond" w:hAnsi="Garamond"/>
          <w:color w:val="000000"/>
        </w:rPr>
        <w:t xml:space="preserve">Although WOM has long been recognized as a powerful influence on consumer decisions </w:t>
      </w:r>
      <w:r w:rsidRPr="004E2AF9">
        <w:rPr>
          <w:rFonts w:ascii="Garamond" w:hAnsi="Garamond"/>
          <w:color w:val="4F81BD" w:themeColor="accent1"/>
        </w:rPr>
        <w:t xml:space="preserve">(Adila et al., 2020; Bulut &amp; Karabulut, 2018; </w:t>
      </w:r>
      <w:proofErr w:type="spellStart"/>
      <w:r w:rsidRPr="004E2AF9">
        <w:rPr>
          <w:rFonts w:ascii="Garamond" w:hAnsi="Garamond"/>
          <w:color w:val="4F81BD" w:themeColor="accent1"/>
        </w:rPr>
        <w:t>Kudeshia</w:t>
      </w:r>
      <w:proofErr w:type="spellEnd"/>
      <w:r w:rsidRPr="004E2AF9">
        <w:rPr>
          <w:rFonts w:ascii="Garamond" w:hAnsi="Garamond"/>
          <w:color w:val="4F81BD" w:themeColor="accent1"/>
        </w:rPr>
        <w:t xml:space="preserve"> &amp; Kumar, 2017)</w:t>
      </w:r>
      <w:r w:rsidRPr="004E2AF9">
        <w:rPr>
          <w:rFonts w:ascii="Garamond" w:hAnsi="Garamond"/>
          <w:color w:val="000000"/>
        </w:rPr>
        <w:t xml:space="preserve">, its role as a mediator between service quality, price fairness, satisfaction, and loyalty has received limited empirical attention in the reviewed studies. </w:t>
      </w:r>
      <w:proofErr w:type="gramStart"/>
      <w:r w:rsidRPr="004E2AF9">
        <w:rPr>
          <w:rFonts w:ascii="Garamond" w:hAnsi="Garamond"/>
          <w:color w:val="000000"/>
        </w:rPr>
        <w:t>The majority of</w:t>
      </w:r>
      <w:proofErr w:type="gramEnd"/>
      <w:r w:rsidRPr="004E2AF9">
        <w:rPr>
          <w:rFonts w:ascii="Garamond" w:hAnsi="Garamond"/>
          <w:color w:val="000000"/>
        </w:rPr>
        <w:t xml:space="preserve"> research treated WOM as an outcome variable rather than an intermediary mechanism, despite theoretical arguments suggesting its centrality in transmitting consumer experiences </w:t>
      </w:r>
      <w:r w:rsidRPr="004E2AF9">
        <w:rPr>
          <w:rFonts w:ascii="Garamond" w:hAnsi="Garamond"/>
          <w:color w:val="4F81BD" w:themeColor="accent1"/>
        </w:rPr>
        <w:t xml:space="preserve">(Fahlevi et al., 2024; Fahlevi, </w:t>
      </w:r>
      <w:proofErr w:type="spellStart"/>
      <w:r w:rsidRPr="004E2AF9">
        <w:rPr>
          <w:rFonts w:ascii="Garamond" w:hAnsi="Garamond"/>
          <w:color w:val="4F81BD" w:themeColor="accent1"/>
        </w:rPr>
        <w:t>Syafira</w:t>
      </w:r>
      <w:proofErr w:type="spellEnd"/>
      <w:r w:rsidRPr="004E2AF9">
        <w:rPr>
          <w:rFonts w:ascii="Garamond" w:hAnsi="Garamond"/>
          <w:color w:val="4F81BD" w:themeColor="accent1"/>
        </w:rPr>
        <w:t>, et al., 2023)</w:t>
      </w:r>
      <w:r w:rsidRPr="004E2AF9">
        <w:rPr>
          <w:rFonts w:ascii="Garamond" w:hAnsi="Garamond"/>
          <w:color w:val="000000"/>
        </w:rPr>
        <w:t>.</w:t>
      </w:r>
      <w:r>
        <w:rPr>
          <w:rFonts w:ascii="Garamond" w:hAnsi="Garamond"/>
          <w:color w:val="000000"/>
        </w:rPr>
        <w:t xml:space="preserve"> </w:t>
      </w:r>
      <w:r w:rsidRPr="004E2AF9">
        <w:rPr>
          <w:rFonts w:ascii="Garamond" w:hAnsi="Garamond"/>
          <w:color w:val="000000"/>
        </w:rPr>
        <w:t xml:space="preserve">Moreover, few studies differentiated between traditional WOM and electronic WOM (e-WOM), even though digital platforms have amplified the reach and impact of consumer reviews and recommendations </w:t>
      </w:r>
      <w:r w:rsidRPr="004E2AF9">
        <w:rPr>
          <w:rFonts w:ascii="Garamond" w:hAnsi="Garamond"/>
          <w:color w:val="4F81BD" w:themeColor="accent1"/>
        </w:rPr>
        <w:t xml:space="preserve">(Fahlevi, </w:t>
      </w:r>
      <w:proofErr w:type="spellStart"/>
      <w:r w:rsidRPr="004E2AF9">
        <w:rPr>
          <w:rFonts w:ascii="Garamond" w:hAnsi="Garamond"/>
          <w:color w:val="4F81BD" w:themeColor="accent1"/>
        </w:rPr>
        <w:t>Syafira</w:t>
      </w:r>
      <w:proofErr w:type="spellEnd"/>
      <w:r w:rsidRPr="004E2AF9">
        <w:rPr>
          <w:rFonts w:ascii="Garamond" w:hAnsi="Garamond"/>
          <w:color w:val="4F81BD" w:themeColor="accent1"/>
        </w:rPr>
        <w:t>, et al., 2023)</w:t>
      </w:r>
      <w:r w:rsidRPr="004E2AF9">
        <w:rPr>
          <w:rFonts w:ascii="Garamond" w:hAnsi="Garamond"/>
          <w:color w:val="000000"/>
        </w:rPr>
        <w:t>. In Indonesia, where social media penetration is high and platforms such as Instagram and TikTok shape dining trends, this omission represents a significant research gap. Future studies should explicitly model e-WOM as a mediator and examine its moderating effects on the relationship between service quality, price fairness, satisfaction, and loyalty.</w:t>
      </w:r>
    </w:p>
    <w:p w14:paraId="4A2EFBA2" w14:textId="37C57A68" w:rsidR="004E2AF9" w:rsidRPr="004E2AF9" w:rsidRDefault="004E2AF9" w:rsidP="004E2AF9">
      <w:pPr>
        <w:ind w:firstLine="720"/>
        <w:jc w:val="both"/>
        <w:rPr>
          <w:rFonts w:ascii="Garamond" w:hAnsi="Garamond"/>
          <w:color w:val="000000"/>
        </w:rPr>
      </w:pPr>
    </w:p>
    <w:p w14:paraId="07785E4E" w14:textId="32E8A666" w:rsidR="004E2AF9" w:rsidRPr="004E2AF9" w:rsidRDefault="004E2AF9" w:rsidP="004E2AF9">
      <w:pPr>
        <w:jc w:val="both"/>
        <w:rPr>
          <w:rFonts w:ascii="Garamond" w:hAnsi="Garamond"/>
          <w:b/>
          <w:bCs/>
          <w:color w:val="000000"/>
        </w:rPr>
      </w:pPr>
      <w:r>
        <w:rPr>
          <w:rFonts w:ascii="Garamond" w:hAnsi="Garamond"/>
          <w:b/>
          <w:bCs/>
          <w:color w:val="000000"/>
        </w:rPr>
        <w:t xml:space="preserve">3.6. </w:t>
      </w:r>
      <w:r w:rsidRPr="004E2AF9">
        <w:rPr>
          <w:rFonts w:ascii="Garamond" w:hAnsi="Garamond"/>
          <w:b/>
          <w:bCs/>
          <w:color w:val="000000"/>
        </w:rPr>
        <w:t>Consumer Loyalty</w:t>
      </w:r>
      <w:r>
        <w:rPr>
          <w:rFonts w:ascii="Garamond" w:hAnsi="Garamond"/>
          <w:b/>
          <w:bCs/>
          <w:color w:val="000000"/>
        </w:rPr>
        <w:t xml:space="preserve"> (</w:t>
      </w:r>
      <w:r w:rsidRPr="004E2AF9">
        <w:rPr>
          <w:rFonts w:ascii="Garamond" w:hAnsi="Garamond"/>
          <w:b/>
          <w:bCs/>
          <w:color w:val="000000"/>
        </w:rPr>
        <w:t>Complex Drivers and Competitive Pressures</w:t>
      </w:r>
      <w:r>
        <w:rPr>
          <w:rFonts w:ascii="Garamond" w:hAnsi="Garamond"/>
          <w:b/>
          <w:bCs/>
          <w:color w:val="000000"/>
        </w:rPr>
        <w:t>)</w:t>
      </w:r>
    </w:p>
    <w:p w14:paraId="1DD6F377" w14:textId="77777777" w:rsidR="0082224F" w:rsidRDefault="0082224F" w:rsidP="004E2AF9">
      <w:pPr>
        <w:ind w:firstLine="720"/>
        <w:jc w:val="both"/>
        <w:rPr>
          <w:rFonts w:ascii="Garamond" w:hAnsi="Garamond"/>
          <w:color w:val="000000"/>
        </w:rPr>
      </w:pPr>
    </w:p>
    <w:p w14:paraId="6FD27486" w14:textId="6AD75633" w:rsidR="004E2AF9" w:rsidRPr="004E2AF9" w:rsidRDefault="004E2AF9" w:rsidP="0082224F">
      <w:pPr>
        <w:ind w:firstLine="720"/>
        <w:jc w:val="both"/>
        <w:rPr>
          <w:rFonts w:ascii="Garamond" w:hAnsi="Garamond"/>
          <w:color w:val="000000"/>
        </w:rPr>
      </w:pPr>
      <w:r w:rsidRPr="004E2AF9">
        <w:rPr>
          <w:rFonts w:ascii="Garamond" w:hAnsi="Garamond"/>
          <w:color w:val="000000"/>
        </w:rPr>
        <w:t xml:space="preserve">Consumer loyalty, conceptualized as a combination of </w:t>
      </w:r>
      <w:proofErr w:type="spellStart"/>
      <w:r w:rsidRPr="004E2AF9">
        <w:rPr>
          <w:rFonts w:ascii="Garamond" w:hAnsi="Garamond"/>
          <w:color w:val="000000"/>
        </w:rPr>
        <w:t>behavioral</w:t>
      </w:r>
      <w:proofErr w:type="spellEnd"/>
      <w:r w:rsidRPr="004E2AF9">
        <w:rPr>
          <w:rFonts w:ascii="Garamond" w:hAnsi="Garamond"/>
          <w:color w:val="000000"/>
        </w:rPr>
        <w:t xml:space="preserve"> repetition and attitudinal commitment </w:t>
      </w:r>
      <w:r w:rsidRPr="004E2AF9">
        <w:rPr>
          <w:rFonts w:ascii="Garamond" w:hAnsi="Garamond"/>
          <w:color w:val="4F81BD" w:themeColor="accent1"/>
        </w:rPr>
        <w:t>(</w:t>
      </w:r>
      <w:proofErr w:type="spellStart"/>
      <w:r w:rsidRPr="004E2AF9">
        <w:rPr>
          <w:rFonts w:ascii="Garamond" w:hAnsi="Garamond"/>
          <w:color w:val="4F81BD" w:themeColor="accent1"/>
        </w:rPr>
        <w:t>Cossío</w:t>
      </w:r>
      <w:proofErr w:type="spellEnd"/>
      <w:r w:rsidRPr="004E2AF9">
        <w:rPr>
          <w:rFonts w:ascii="Garamond" w:hAnsi="Garamond"/>
          <w:color w:val="4F81BD" w:themeColor="accent1"/>
        </w:rPr>
        <w:t xml:space="preserve">-Silva et al., 2019; </w:t>
      </w:r>
      <w:proofErr w:type="spellStart"/>
      <w:r w:rsidRPr="004E2AF9">
        <w:rPr>
          <w:rFonts w:ascii="Garamond" w:hAnsi="Garamond"/>
          <w:color w:val="4F81BD" w:themeColor="accent1"/>
        </w:rPr>
        <w:t>Alhitmi</w:t>
      </w:r>
      <w:proofErr w:type="spellEnd"/>
      <w:r w:rsidRPr="004E2AF9">
        <w:rPr>
          <w:rFonts w:ascii="Garamond" w:hAnsi="Garamond"/>
          <w:color w:val="4F81BD" w:themeColor="accent1"/>
        </w:rPr>
        <w:t xml:space="preserve"> et al., 2023)</w:t>
      </w:r>
      <w:r w:rsidRPr="004E2AF9">
        <w:rPr>
          <w:rFonts w:ascii="Garamond" w:hAnsi="Garamond"/>
          <w:color w:val="000000"/>
        </w:rPr>
        <w:t>, remains the ultimate outcome of interest. The reviewed studies confirm that service quality and satisfaction are consistently strong predictors of loyalty, while findings for price fairness are mixed. Yet, several gaps persist.</w:t>
      </w:r>
      <w:r w:rsidR="0082224F">
        <w:rPr>
          <w:rFonts w:ascii="Garamond" w:hAnsi="Garamond"/>
          <w:color w:val="000000"/>
        </w:rPr>
        <w:t xml:space="preserve"> </w:t>
      </w:r>
      <w:r w:rsidRPr="004E2AF9">
        <w:rPr>
          <w:rFonts w:ascii="Garamond" w:hAnsi="Garamond"/>
          <w:color w:val="000000"/>
        </w:rPr>
        <w:t xml:space="preserve">First, very few studies explicitly compared the determinants of loyalty between local and international brands, even though this is highly relevant in Indonesia’s competitive fast-food landscape (Fahlevi, 2025; </w:t>
      </w:r>
      <w:proofErr w:type="spellStart"/>
      <w:r w:rsidRPr="004E2AF9">
        <w:rPr>
          <w:rFonts w:ascii="Garamond" w:hAnsi="Garamond"/>
          <w:color w:val="000000"/>
        </w:rPr>
        <w:t>Matroji</w:t>
      </w:r>
      <w:proofErr w:type="spellEnd"/>
      <w:r w:rsidRPr="004E2AF9">
        <w:rPr>
          <w:rFonts w:ascii="Garamond" w:hAnsi="Garamond"/>
          <w:color w:val="000000"/>
        </w:rPr>
        <w:t xml:space="preserve"> et al., 2023). Similarly, little is known about how loyalty manifests differently across offline and online channels, particularly in the presence of platform-induced switching incentives. Second, </w:t>
      </w:r>
      <w:proofErr w:type="gramStart"/>
      <w:r w:rsidRPr="004E2AF9">
        <w:rPr>
          <w:rFonts w:ascii="Garamond" w:hAnsi="Garamond"/>
          <w:color w:val="000000"/>
        </w:rPr>
        <w:t>the majority of</w:t>
      </w:r>
      <w:proofErr w:type="gramEnd"/>
      <w:r w:rsidRPr="004E2AF9">
        <w:rPr>
          <w:rFonts w:ascii="Garamond" w:hAnsi="Garamond"/>
          <w:color w:val="000000"/>
        </w:rPr>
        <w:t xml:space="preserve"> studies employed cross-sectional designs, limiting causal inference about loyalty development over time. Future research should adopt longitudinal or experimental designs to capture the dynamic nature of loyalty in fast-changing market conditions.</w:t>
      </w:r>
    </w:p>
    <w:p w14:paraId="37DA25B6" w14:textId="77777777" w:rsidR="004E2AF9" w:rsidRDefault="004E2AF9" w:rsidP="004E2AF9">
      <w:pPr>
        <w:jc w:val="both"/>
        <w:rPr>
          <w:rFonts w:ascii="Garamond" w:hAnsi="Garamond"/>
          <w:color w:val="000000"/>
        </w:rPr>
      </w:pPr>
    </w:p>
    <w:p w14:paraId="14C1A23C" w14:textId="1576768B" w:rsidR="004E2AF9" w:rsidRPr="004E2AF9" w:rsidRDefault="004E2AF9" w:rsidP="004E2AF9">
      <w:pPr>
        <w:jc w:val="both"/>
        <w:rPr>
          <w:rFonts w:ascii="Garamond" w:hAnsi="Garamond"/>
          <w:b/>
          <w:bCs/>
          <w:color w:val="000000"/>
        </w:rPr>
      </w:pPr>
      <w:r w:rsidRPr="0082224F">
        <w:rPr>
          <w:rFonts w:ascii="Garamond" w:hAnsi="Garamond"/>
          <w:b/>
          <w:bCs/>
          <w:color w:val="000000"/>
        </w:rPr>
        <w:t xml:space="preserve">3.7. </w:t>
      </w:r>
      <w:r w:rsidRPr="004E2AF9">
        <w:rPr>
          <w:rFonts w:ascii="Garamond" w:hAnsi="Garamond"/>
          <w:b/>
          <w:bCs/>
          <w:color w:val="000000"/>
        </w:rPr>
        <w:t>Synthesis of Research Gaps and Agenda for Future Research</w:t>
      </w:r>
    </w:p>
    <w:p w14:paraId="4C9A0588" w14:textId="77777777" w:rsidR="004E2AF9" w:rsidRDefault="004E2AF9" w:rsidP="004E2AF9">
      <w:pPr>
        <w:ind w:firstLine="720"/>
        <w:jc w:val="both"/>
        <w:rPr>
          <w:rFonts w:ascii="Garamond" w:hAnsi="Garamond"/>
          <w:color w:val="000000"/>
        </w:rPr>
      </w:pPr>
    </w:p>
    <w:p w14:paraId="63798E91" w14:textId="5F25EA4A" w:rsidR="004E2AF9" w:rsidRPr="004E2AF9" w:rsidRDefault="004E2AF9" w:rsidP="004E2AF9">
      <w:pPr>
        <w:ind w:firstLine="720"/>
        <w:jc w:val="both"/>
        <w:rPr>
          <w:rFonts w:ascii="Garamond" w:hAnsi="Garamond"/>
          <w:color w:val="000000"/>
        </w:rPr>
      </w:pPr>
      <w:r w:rsidRPr="004E2AF9">
        <w:rPr>
          <w:rFonts w:ascii="Garamond" w:hAnsi="Garamond"/>
          <w:color w:val="000000"/>
        </w:rPr>
        <w:t>Based on the above findings, this review identifies the following research gaps and proposes directions for future inquiry:</w:t>
      </w:r>
    </w:p>
    <w:p w14:paraId="4BA17B13" w14:textId="77777777" w:rsidR="004E2AF9" w:rsidRPr="004E2AF9" w:rsidRDefault="004E2AF9" w:rsidP="004E2AF9">
      <w:pPr>
        <w:numPr>
          <w:ilvl w:val="0"/>
          <w:numId w:val="90"/>
        </w:numPr>
        <w:jc w:val="both"/>
        <w:rPr>
          <w:rFonts w:ascii="Garamond" w:hAnsi="Garamond"/>
          <w:color w:val="000000"/>
        </w:rPr>
      </w:pPr>
      <w:r w:rsidRPr="004E2AF9">
        <w:rPr>
          <w:rFonts w:ascii="Garamond" w:hAnsi="Garamond"/>
          <w:b/>
          <w:bCs/>
          <w:color w:val="000000"/>
        </w:rPr>
        <w:t>Integration of Digital Contexts</w:t>
      </w:r>
    </w:p>
    <w:p w14:paraId="495F4869" w14:textId="0CFB620B" w:rsidR="004E2AF9" w:rsidRPr="004E2AF9" w:rsidRDefault="004E2AF9" w:rsidP="004E2AF9">
      <w:pPr>
        <w:ind w:left="720"/>
        <w:jc w:val="both"/>
        <w:rPr>
          <w:rFonts w:ascii="Garamond" w:hAnsi="Garamond"/>
          <w:color w:val="000000"/>
        </w:rPr>
      </w:pPr>
      <w:r w:rsidRPr="004E2AF9">
        <w:rPr>
          <w:rFonts w:ascii="Garamond" w:hAnsi="Garamond"/>
          <w:color w:val="000000"/>
        </w:rPr>
        <w:t>Existing studies inadequately address the impact of digital ordering and delivery platforms on service quality perceptions, price fairness evaluations, satisfaction formation, and WOM generation. Future studies should develop models that integrate offline and digital experiences to reflect the omnichannel reality of fast-food consumption.</w:t>
      </w:r>
    </w:p>
    <w:p w14:paraId="7A39389D" w14:textId="77777777" w:rsidR="004E2AF9" w:rsidRPr="004E2AF9" w:rsidRDefault="004E2AF9" w:rsidP="004E2AF9">
      <w:pPr>
        <w:numPr>
          <w:ilvl w:val="0"/>
          <w:numId w:val="90"/>
        </w:numPr>
        <w:jc w:val="both"/>
        <w:rPr>
          <w:rFonts w:ascii="Garamond" w:hAnsi="Garamond"/>
          <w:color w:val="000000"/>
        </w:rPr>
      </w:pPr>
      <w:r w:rsidRPr="004E2AF9">
        <w:rPr>
          <w:rFonts w:ascii="Garamond" w:hAnsi="Garamond"/>
          <w:b/>
          <w:bCs/>
          <w:color w:val="000000"/>
        </w:rPr>
        <w:t>WOM as Mediator and Moderator</w:t>
      </w:r>
    </w:p>
    <w:p w14:paraId="6769C806" w14:textId="003DD520" w:rsidR="004E2AF9" w:rsidRPr="004E2AF9" w:rsidRDefault="004E2AF9" w:rsidP="004E2AF9">
      <w:pPr>
        <w:ind w:left="720"/>
        <w:jc w:val="both"/>
        <w:rPr>
          <w:rFonts w:ascii="Garamond" w:hAnsi="Garamond"/>
          <w:color w:val="000000"/>
        </w:rPr>
      </w:pPr>
      <w:r w:rsidRPr="004E2AF9">
        <w:rPr>
          <w:rFonts w:ascii="Garamond" w:hAnsi="Garamond"/>
          <w:color w:val="000000"/>
        </w:rPr>
        <w:t xml:space="preserve">The mediating and moderating roles of WOM, particularly e-WOM, remain underexplored. Researchers should test models that position WOM as a bridge between antecedents (service </w:t>
      </w:r>
      <w:r w:rsidRPr="004E2AF9">
        <w:rPr>
          <w:rFonts w:ascii="Garamond" w:hAnsi="Garamond"/>
          <w:color w:val="000000"/>
        </w:rPr>
        <w:lastRenderedPageBreak/>
        <w:t>quality, price fairness) and loyalty outcomes, while also examining how e-WOM moderates these relationships in social-media-intensive contexts.</w:t>
      </w:r>
    </w:p>
    <w:p w14:paraId="791F6EDA" w14:textId="77777777" w:rsidR="004E2AF9" w:rsidRPr="004E2AF9" w:rsidRDefault="004E2AF9" w:rsidP="004E2AF9">
      <w:pPr>
        <w:numPr>
          <w:ilvl w:val="0"/>
          <w:numId w:val="90"/>
        </w:numPr>
        <w:jc w:val="both"/>
        <w:rPr>
          <w:rFonts w:ascii="Garamond" w:hAnsi="Garamond"/>
          <w:color w:val="000000"/>
        </w:rPr>
      </w:pPr>
      <w:r w:rsidRPr="004E2AF9">
        <w:rPr>
          <w:rFonts w:ascii="Garamond" w:hAnsi="Garamond"/>
          <w:b/>
          <w:bCs/>
          <w:color w:val="000000"/>
        </w:rPr>
        <w:t>Comparative Studies of Local vs. International Brands</w:t>
      </w:r>
    </w:p>
    <w:p w14:paraId="602B6CE3" w14:textId="45EC8F1D" w:rsidR="004E2AF9" w:rsidRPr="004E2AF9" w:rsidRDefault="004E2AF9" w:rsidP="004E2AF9">
      <w:pPr>
        <w:ind w:left="720"/>
        <w:jc w:val="both"/>
        <w:rPr>
          <w:rFonts w:ascii="Garamond" w:hAnsi="Garamond"/>
          <w:color w:val="000000"/>
        </w:rPr>
      </w:pPr>
      <w:r w:rsidRPr="004E2AF9">
        <w:rPr>
          <w:rFonts w:ascii="Garamond" w:hAnsi="Garamond"/>
          <w:color w:val="000000"/>
        </w:rPr>
        <w:t>Few studies directly compare loyalty drivers between local and global fast-food brands. Future research should investigate whether consumers evaluate service quality and price fairness differently based on brand origin, cultural fit, and value perceptions.</w:t>
      </w:r>
    </w:p>
    <w:p w14:paraId="3DC78682" w14:textId="77777777" w:rsidR="004E2AF9" w:rsidRPr="004E2AF9" w:rsidRDefault="004E2AF9" w:rsidP="004E2AF9">
      <w:pPr>
        <w:numPr>
          <w:ilvl w:val="0"/>
          <w:numId w:val="90"/>
        </w:numPr>
        <w:jc w:val="both"/>
        <w:rPr>
          <w:rFonts w:ascii="Garamond" w:hAnsi="Garamond"/>
          <w:color w:val="000000"/>
        </w:rPr>
      </w:pPr>
      <w:r w:rsidRPr="004E2AF9">
        <w:rPr>
          <w:rFonts w:ascii="Garamond" w:hAnsi="Garamond"/>
          <w:b/>
          <w:bCs/>
          <w:color w:val="000000"/>
        </w:rPr>
        <w:t>Price Fairness in Platform Economy</w:t>
      </w:r>
    </w:p>
    <w:p w14:paraId="7CFD3114" w14:textId="2A800B02" w:rsidR="004E2AF9" w:rsidRPr="004E2AF9" w:rsidRDefault="004E2AF9" w:rsidP="004E2AF9">
      <w:pPr>
        <w:ind w:left="720"/>
        <w:jc w:val="both"/>
        <w:rPr>
          <w:rFonts w:ascii="Garamond" w:hAnsi="Garamond"/>
          <w:color w:val="000000"/>
        </w:rPr>
      </w:pPr>
      <w:r w:rsidRPr="004E2AF9">
        <w:rPr>
          <w:rFonts w:ascii="Garamond" w:hAnsi="Garamond"/>
          <w:color w:val="000000"/>
        </w:rPr>
        <w:t>Given the prominence of dynamic pricing, discounts, and delivery fees in digital platforms, research should examine how these factors influence perceptions of fairness, satisfaction, and loyalty in platform-mediated transactions.</w:t>
      </w:r>
    </w:p>
    <w:p w14:paraId="7E715AA1" w14:textId="77777777" w:rsidR="004E2AF9" w:rsidRPr="004E2AF9" w:rsidRDefault="004E2AF9" w:rsidP="004E2AF9">
      <w:pPr>
        <w:numPr>
          <w:ilvl w:val="0"/>
          <w:numId w:val="90"/>
        </w:numPr>
        <w:jc w:val="both"/>
        <w:rPr>
          <w:rFonts w:ascii="Garamond" w:hAnsi="Garamond"/>
          <w:color w:val="000000"/>
        </w:rPr>
      </w:pPr>
      <w:r w:rsidRPr="004E2AF9">
        <w:rPr>
          <w:rFonts w:ascii="Garamond" w:hAnsi="Garamond"/>
          <w:b/>
          <w:bCs/>
          <w:color w:val="000000"/>
        </w:rPr>
        <w:t>Longitudinal and Experimental Designs</w:t>
      </w:r>
    </w:p>
    <w:p w14:paraId="1850CCB2" w14:textId="5DAEC86D" w:rsidR="004E2AF9" w:rsidRPr="004E2AF9" w:rsidRDefault="004E2AF9" w:rsidP="004E2AF9">
      <w:pPr>
        <w:ind w:left="720"/>
        <w:jc w:val="both"/>
        <w:rPr>
          <w:rFonts w:ascii="Garamond" w:hAnsi="Garamond"/>
          <w:color w:val="000000"/>
        </w:rPr>
      </w:pPr>
      <w:r w:rsidRPr="004E2AF9">
        <w:rPr>
          <w:rFonts w:ascii="Garamond" w:hAnsi="Garamond"/>
          <w:color w:val="000000"/>
        </w:rPr>
        <w:t>The predominance of cross-sectional studies limits causal understanding. Longitudinal studies could track how satisfaction and loyalty evolve, while experiments could test interventions to improve service quality and pricing strategies.</w:t>
      </w:r>
    </w:p>
    <w:p w14:paraId="190ABB92" w14:textId="77777777" w:rsidR="004E2AF9" w:rsidRPr="004E2AF9" w:rsidRDefault="004E2AF9" w:rsidP="004E2AF9">
      <w:pPr>
        <w:numPr>
          <w:ilvl w:val="0"/>
          <w:numId w:val="90"/>
        </w:numPr>
        <w:jc w:val="both"/>
        <w:rPr>
          <w:rFonts w:ascii="Garamond" w:hAnsi="Garamond"/>
          <w:color w:val="000000"/>
        </w:rPr>
      </w:pPr>
      <w:r w:rsidRPr="004E2AF9">
        <w:rPr>
          <w:rFonts w:ascii="Garamond" w:hAnsi="Garamond"/>
          <w:b/>
          <w:bCs/>
          <w:color w:val="000000"/>
        </w:rPr>
        <w:t>Extended Conceptualizations of Service Quality</w:t>
      </w:r>
    </w:p>
    <w:p w14:paraId="6EC98906" w14:textId="4BCA890F" w:rsidR="004E2AF9" w:rsidRPr="004E2AF9" w:rsidRDefault="004E2AF9" w:rsidP="004E2AF9">
      <w:pPr>
        <w:ind w:left="720"/>
        <w:jc w:val="both"/>
        <w:rPr>
          <w:rFonts w:ascii="Garamond" w:hAnsi="Garamond"/>
          <w:color w:val="000000"/>
        </w:rPr>
      </w:pPr>
      <w:r w:rsidRPr="004E2AF9">
        <w:rPr>
          <w:rFonts w:ascii="Garamond" w:hAnsi="Garamond"/>
          <w:color w:val="000000"/>
        </w:rPr>
        <w:t>Researchers should expand service quality models to include digital-specific dimensions such as app usability, delivery reliability, and order accuracy in online contexts, alongside traditional SERVQUAL attributes.</w:t>
      </w:r>
    </w:p>
    <w:p w14:paraId="449AAC82" w14:textId="33F8E70E" w:rsidR="004E2AF9" w:rsidRPr="004E2AF9" w:rsidRDefault="004E2AF9" w:rsidP="004E2AF9">
      <w:pPr>
        <w:ind w:firstLine="720"/>
        <w:jc w:val="both"/>
        <w:rPr>
          <w:rFonts w:ascii="Garamond" w:hAnsi="Garamond"/>
          <w:color w:val="000000"/>
        </w:rPr>
      </w:pPr>
    </w:p>
    <w:p w14:paraId="22106AEC" w14:textId="77777777" w:rsidR="004E2AF9" w:rsidRPr="004E2AF9" w:rsidRDefault="004E2AF9" w:rsidP="004E2AF9">
      <w:pPr>
        <w:ind w:firstLine="720"/>
        <w:jc w:val="both"/>
        <w:rPr>
          <w:rFonts w:ascii="Garamond" w:hAnsi="Garamond"/>
          <w:color w:val="000000"/>
        </w:rPr>
      </w:pPr>
      <w:r w:rsidRPr="004E2AF9">
        <w:rPr>
          <w:rFonts w:ascii="Garamond" w:hAnsi="Garamond"/>
          <w:color w:val="000000"/>
        </w:rPr>
        <w:t>The findings of this review carry several implications for fast-food managers and marketers in Indonesia. Brands must recognize the centrality of both offline and online service quality in shaping customer satisfaction and loyalty. Price fairness strategies should be transparent and consistent across channels, with clear communication of value propositions. Additionally, leveraging e-WOM through proactive engagement on social media can amplify positive consumer experiences. Local brands</w:t>
      </w:r>
      <w:proofErr w:type="gramStart"/>
      <w:r w:rsidRPr="004E2AF9">
        <w:rPr>
          <w:rFonts w:ascii="Garamond" w:hAnsi="Garamond"/>
          <w:color w:val="000000"/>
        </w:rPr>
        <w:t>, in particular, can</w:t>
      </w:r>
      <w:proofErr w:type="gramEnd"/>
      <w:r w:rsidRPr="004E2AF9">
        <w:rPr>
          <w:rFonts w:ascii="Garamond" w:hAnsi="Garamond"/>
          <w:color w:val="000000"/>
        </w:rPr>
        <w:t xml:space="preserve"> differentiate themselves by combining competitive pricing with culturally resonant service attributes, while global brands must adapt their offerings to local preferences to maintain loyalty.</w:t>
      </w:r>
    </w:p>
    <w:p w14:paraId="1E23FC39" w14:textId="77777777" w:rsidR="00CC54D8" w:rsidRPr="00847AC3" w:rsidRDefault="00CC54D8" w:rsidP="00847AC3">
      <w:pPr>
        <w:ind w:firstLine="720"/>
        <w:jc w:val="both"/>
        <w:rPr>
          <w:rFonts w:ascii="Garamond" w:hAnsi="Garamond"/>
          <w:color w:val="000000"/>
        </w:rPr>
      </w:pPr>
    </w:p>
    <w:p w14:paraId="76EC9048" w14:textId="77777777" w:rsidR="00E763FE" w:rsidRDefault="00E763FE" w:rsidP="00E763FE">
      <w:pPr>
        <w:ind w:firstLine="567"/>
        <w:jc w:val="both"/>
        <w:rPr>
          <w:rFonts w:ascii="Garamond" w:hAnsi="Garamond"/>
        </w:rPr>
      </w:pPr>
    </w:p>
    <w:p w14:paraId="012B0B1D" w14:textId="3D720976" w:rsidR="00E763FE" w:rsidRPr="00065CD8" w:rsidRDefault="00E763FE" w:rsidP="00E763FE">
      <w:pPr>
        <w:pStyle w:val="ListParagraph"/>
        <w:numPr>
          <w:ilvl w:val="0"/>
          <w:numId w:val="79"/>
        </w:numPr>
        <w:jc w:val="both"/>
        <w:rPr>
          <w:rFonts w:ascii="Garamond" w:hAnsi="Garamond"/>
        </w:rPr>
      </w:pPr>
      <w:r>
        <w:rPr>
          <w:rFonts w:ascii="Garamond" w:hAnsi="Garamond"/>
          <w:b/>
          <w:bCs/>
        </w:rPr>
        <w:t>CONCLUSIONS</w:t>
      </w:r>
    </w:p>
    <w:p w14:paraId="6B55FC9F" w14:textId="77777777" w:rsidR="00E763FE" w:rsidRDefault="00E763FE" w:rsidP="00E763FE">
      <w:pPr>
        <w:jc w:val="both"/>
        <w:rPr>
          <w:rFonts w:ascii="Garamond" w:hAnsi="Garamond"/>
        </w:rPr>
      </w:pPr>
    </w:p>
    <w:p w14:paraId="3A7D5AA5" w14:textId="5B69B062" w:rsidR="004E2AF9" w:rsidRPr="004E2AF9" w:rsidRDefault="007C7E8B" w:rsidP="004E2AF9">
      <w:pPr>
        <w:ind w:firstLine="567"/>
        <w:jc w:val="both"/>
        <w:rPr>
          <w:rFonts w:ascii="Garamond" w:hAnsi="Garamond"/>
        </w:rPr>
      </w:pPr>
      <w:r w:rsidRPr="00847AC3">
        <w:rPr>
          <w:rFonts w:ascii="Garamond" w:hAnsi="Garamond"/>
        </w:rPr>
        <w:t xml:space="preserve">Several </w:t>
      </w:r>
      <w:r w:rsidR="004E2AF9" w:rsidRPr="004E2AF9">
        <w:rPr>
          <w:rFonts w:ascii="Garamond" w:hAnsi="Garamond"/>
        </w:rPr>
        <w:t>The review confirms that service quality and satisfaction remain the most robust predictors of loyalty, while the influence of price fairness is context-dependent and often mediated by perceived value and WOM. The findings also highlight the increasing relevance of digital platforms, which are reshaping consumer expectations and altering the traditional dynamics of service delivery, pricing, and consumer engagement.</w:t>
      </w:r>
      <w:r w:rsidR="004E2AF9">
        <w:rPr>
          <w:rFonts w:ascii="Garamond" w:hAnsi="Garamond"/>
        </w:rPr>
        <w:t xml:space="preserve"> </w:t>
      </w:r>
      <w:r w:rsidR="004E2AF9" w:rsidRPr="004E2AF9">
        <w:rPr>
          <w:rFonts w:ascii="Garamond" w:hAnsi="Garamond"/>
        </w:rPr>
        <w:t>Despite these insights, the review identifies substantial gaps that limit both theoretical development and managerial practice. Research to date insufficiently accounts for the role of digital touchpoints in shaping service quality perceptions, fairness evaluations, and satisfaction outcomes. Similarly, WOM, particularly in its electronic form (e-WOM), is underexplored as a mediating and moderating mechanism linking antecedents to loyalty. Moreover, comparative evidence regarding local versus international brands remains scarce, as does longitudinal understanding of loyalty trajectories and consumer responses to platform-induced pricing strategies and switching incentives.</w:t>
      </w:r>
    </w:p>
    <w:p w14:paraId="4A9B0F3A" w14:textId="55983B41" w:rsidR="00847AC3" w:rsidRDefault="004E2AF9" w:rsidP="004E2AF9">
      <w:pPr>
        <w:ind w:firstLine="567"/>
        <w:jc w:val="both"/>
        <w:rPr>
          <w:rFonts w:ascii="Garamond" w:hAnsi="Garamond"/>
        </w:rPr>
      </w:pPr>
      <w:r w:rsidRPr="004E2AF9">
        <w:rPr>
          <w:rFonts w:ascii="Garamond" w:hAnsi="Garamond"/>
        </w:rPr>
        <w:t xml:space="preserve">Addressing these gaps presents a rich agenda for future inquiry. Scholars should develop and empirically test integrated models that reflect the omnichannel nature of contemporary fast-food consumption, account for cultural and generational heterogeneity, and incorporate the dynamic interplay between offline and digital experiences. Longitudinal and experimental designs are recommended to establish causality and assess the effectiveness of interventions aimed at improving service quality, pricing transparency, and consumer retention. Expanding the conceptualization of service quality to include digital-specific attributes and rigorously </w:t>
      </w:r>
      <w:proofErr w:type="spellStart"/>
      <w:r w:rsidRPr="004E2AF9">
        <w:rPr>
          <w:rFonts w:ascii="Garamond" w:hAnsi="Garamond"/>
        </w:rPr>
        <w:t>modeling</w:t>
      </w:r>
      <w:proofErr w:type="spellEnd"/>
      <w:r w:rsidRPr="004E2AF9">
        <w:rPr>
          <w:rFonts w:ascii="Garamond" w:hAnsi="Garamond"/>
        </w:rPr>
        <w:t xml:space="preserve"> WOM’s multifaceted roles will also enhance the explanatory power of future studies.</w:t>
      </w:r>
      <w:r>
        <w:rPr>
          <w:rFonts w:ascii="Garamond" w:hAnsi="Garamond"/>
        </w:rPr>
        <w:t xml:space="preserve"> This</w:t>
      </w:r>
      <w:r w:rsidRPr="004E2AF9">
        <w:rPr>
          <w:rFonts w:ascii="Garamond" w:hAnsi="Garamond"/>
        </w:rPr>
        <w:t xml:space="preserve"> review underscores the imperative of aligning operational strategies with evolving consumer expectations. Fast-food brands operating in Indonesia should ensure service excellence across both physical and digital channels, maintain pricing strategies that are perceived </w:t>
      </w:r>
      <w:r w:rsidRPr="004E2AF9">
        <w:rPr>
          <w:rFonts w:ascii="Garamond" w:hAnsi="Garamond"/>
        </w:rPr>
        <w:lastRenderedPageBreak/>
        <w:t>as fair and transparent, and actively engage consumers through social media to amplify positive WOM. Local brands can strengthen their competitive positioning by emphasizing culturally resonant value propositions, while international franchises should adapt their global standards to meet local preferences.</w:t>
      </w:r>
      <w:r>
        <w:rPr>
          <w:rFonts w:ascii="Garamond" w:hAnsi="Garamond"/>
        </w:rPr>
        <w:t xml:space="preserve"> T</w:t>
      </w:r>
      <w:r w:rsidRPr="004E2AF9">
        <w:rPr>
          <w:rFonts w:ascii="Garamond" w:hAnsi="Garamond"/>
        </w:rPr>
        <w:t xml:space="preserve">his review contributes to the literature by synthesizing fragmented findings, articulating a clear research agenda, and offering actionable insights for practitioners seeking to foster loyalty in an increasingly competitive and digitally mediated market. By bridging theoretical gaps and informing strategic practice, the study advances understanding of consumer </w:t>
      </w:r>
      <w:proofErr w:type="spellStart"/>
      <w:r w:rsidRPr="004E2AF9">
        <w:rPr>
          <w:rFonts w:ascii="Garamond" w:hAnsi="Garamond"/>
        </w:rPr>
        <w:t>behavior</w:t>
      </w:r>
      <w:proofErr w:type="spellEnd"/>
      <w:r w:rsidRPr="004E2AF9">
        <w:rPr>
          <w:rFonts w:ascii="Garamond" w:hAnsi="Garamond"/>
        </w:rPr>
        <w:t xml:space="preserve"> in Indonesia’s fast-food sector and sets the stage for more nuanced, context-sensitive research in the years to come</w:t>
      </w:r>
      <w:r>
        <w:rPr>
          <w:rFonts w:ascii="Garamond" w:hAnsi="Garamond"/>
        </w:rPr>
        <w:t>.</w:t>
      </w:r>
    </w:p>
    <w:p w14:paraId="681F1C55" w14:textId="77777777" w:rsidR="008053EA" w:rsidRDefault="008053EA" w:rsidP="00F115A9">
      <w:pPr>
        <w:ind w:firstLine="567"/>
        <w:jc w:val="both"/>
        <w:rPr>
          <w:rFonts w:ascii="Garamond" w:hAnsi="Garamond"/>
        </w:rPr>
      </w:pPr>
    </w:p>
    <w:p w14:paraId="75FC5E7C" w14:textId="77777777" w:rsidR="008053EA" w:rsidRPr="00064763" w:rsidRDefault="008053EA" w:rsidP="008053EA">
      <w:pPr>
        <w:spacing w:after="200"/>
        <w:jc w:val="both"/>
        <w:rPr>
          <w:rFonts w:ascii="Garamond" w:hAnsi="Garamond"/>
          <w:b/>
          <w:bCs/>
        </w:rPr>
      </w:pPr>
      <w:r w:rsidRPr="00064763">
        <w:rPr>
          <w:rFonts w:ascii="Garamond" w:hAnsi="Garamond"/>
          <w:b/>
          <w:bCs/>
        </w:rPr>
        <w:t>Ethical approval</w:t>
      </w:r>
    </w:p>
    <w:p w14:paraId="6DC1B2A1" w14:textId="77777777" w:rsidR="008053EA" w:rsidRPr="00064763" w:rsidRDefault="008053EA" w:rsidP="008053EA">
      <w:pPr>
        <w:spacing w:after="200"/>
        <w:jc w:val="both"/>
        <w:rPr>
          <w:rFonts w:ascii="Garamond" w:hAnsi="Garamond"/>
        </w:rPr>
      </w:pPr>
      <w:r w:rsidRPr="009D7751">
        <w:rPr>
          <w:rFonts w:ascii="Garamond" w:hAnsi="Garamond"/>
        </w:rPr>
        <w:t>This study was conducted in accordance with the ethical principles outlined in the Declaration of Helsinki.</w:t>
      </w:r>
    </w:p>
    <w:p w14:paraId="3AEEC6CC" w14:textId="77777777" w:rsidR="008053EA" w:rsidRPr="00064763" w:rsidRDefault="008053EA" w:rsidP="008053EA">
      <w:pPr>
        <w:spacing w:after="200"/>
        <w:jc w:val="both"/>
        <w:rPr>
          <w:rFonts w:ascii="Garamond" w:hAnsi="Garamond"/>
          <w:b/>
          <w:bCs/>
        </w:rPr>
      </w:pPr>
      <w:r w:rsidRPr="00064763">
        <w:rPr>
          <w:rFonts w:ascii="Garamond" w:hAnsi="Garamond"/>
          <w:b/>
          <w:bCs/>
        </w:rPr>
        <w:t>Informed consent statement</w:t>
      </w:r>
    </w:p>
    <w:p w14:paraId="754D40C5" w14:textId="11098491" w:rsidR="008053EA" w:rsidRPr="00625263" w:rsidRDefault="0082224F" w:rsidP="008053EA">
      <w:pPr>
        <w:spacing w:after="200"/>
        <w:jc w:val="both"/>
        <w:rPr>
          <w:rFonts w:ascii="Garamond" w:hAnsi="Garamond"/>
        </w:rPr>
      </w:pPr>
      <w:r>
        <w:rPr>
          <w:rFonts w:ascii="Garamond" w:hAnsi="Garamond"/>
        </w:rPr>
        <w:t>Not Applicable</w:t>
      </w:r>
    </w:p>
    <w:p w14:paraId="2FBABC67" w14:textId="77777777" w:rsidR="008053EA" w:rsidRPr="00625263" w:rsidRDefault="008053EA" w:rsidP="008053EA">
      <w:pPr>
        <w:spacing w:after="200"/>
        <w:jc w:val="both"/>
        <w:rPr>
          <w:rFonts w:ascii="Garamond" w:hAnsi="Garamond"/>
          <w:b/>
          <w:bCs/>
        </w:rPr>
      </w:pPr>
      <w:r w:rsidRPr="00625263">
        <w:rPr>
          <w:rFonts w:ascii="Garamond" w:hAnsi="Garamond"/>
          <w:b/>
          <w:bCs/>
        </w:rPr>
        <w:t>Authors’ contributions</w:t>
      </w:r>
    </w:p>
    <w:p w14:paraId="29DA988E" w14:textId="005E2806" w:rsidR="008053EA" w:rsidRPr="00064763" w:rsidRDefault="0082224F" w:rsidP="008053EA">
      <w:pPr>
        <w:spacing w:after="200"/>
        <w:jc w:val="both"/>
        <w:rPr>
          <w:rFonts w:ascii="Garamond" w:hAnsi="Garamond"/>
        </w:rPr>
      </w:pPr>
      <w:r w:rsidRPr="0082224F">
        <w:rPr>
          <w:rFonts w:ascii="Garamond" w:hAnsi="Garamond"/>
        </w:rPr>
        <w:t xml:space="preserve">Seno Sudarmono Hadi conceived the research idea, designed the systematic review protocol, conducted the literature search and screening, performed the thematic analysis, and drafted the initial manuscript. Dr. H. </w:t>
      </w:r>
      <w:proofErr w:type="spellStart"/>
      <w:r w:rsidRPr="0082224F">
        <w:rPr>
          <w:rFonts w:ascii="Garamond" w:hAnsi="Garamond"/>
        </w:rPr>
        <w:t>Darmansyah</w:t>
      </w:r>
      <w:proofErr w:type="spellEnd"/>
      <w:r w:rsidRPr="0082224F">
        <w:rPr>
          <w:rFonts w:ascii="Garamond" w:hAnsi="Garamond"/>
        </w:rPr>
        <w:t xml:space="preserve"> provided supervision, guided the methodological framework, contributed to the interpretation of findings, and critically reviewed and revised the manuscript for intellectual content. Prof. Dr. Sri </w:t>
      </w:r>
      <w:proofErr w:type="spellStart"/>
      <w:r w:rsidRPr="0082224F">
        <w:rPr>
          <w:rFonts w:ascii="Garamond" w:hAnsi="Garamond"/>
        </w:rPr>
        <w:t>Widyastuti</w:t>
      </w:r>
      <w:proofErr w:type="spellEnd"/>
      <w:r w:rsidRPr="0082224F">
        <w:rPr>
          <w:rFonts w:ascii="Garamond" w:hAnsi="Garamond"/>
        </w:rPr>
        <w:t xml:space="preserve"> contributed to the conceptualization, validated the analytical approach, provided expertise in global and digital marketing perspectives, and reviewed and refined the final manuscript. All authors read and approved the final version of the manuscript and agreed to be accountable for all aspects of the work</w:t>
      </w:r>
      <w:r w:rsidR="008053EA">
        <w:rPr>
          <w:rFonts w:ascii="Garamond" w:hAnsi="Garamond"/>
        </w:rPr>
        <w:t>.</w:t>
      </w:r>
    </w:p>
    <w:p w14:paraId="421B50F5" w14:textId="77777777" w:rsidR="008053EA" w:rsidRPr="00064763" w:rsidRDefault="008053EA" w:rsidP="008053EA">
      <w:pPr>
        <w:spacing w:after="200"/>
        <w:jc w:val="both"/>
        <w:rPr>
          <w:rFonts w:ascii="Garamond" w:hAnsi="Garamond"/>
          <w:b/>
          <w:bCs/>
        </w:rPr>
      </w:pPr>
      <w:r w:rsidRPr="00064763">
        <w:rPr>
          <w:rFonts w:ascii="Garamond" w:hAnsi="Garamond"/>
          <w:b/>
          <w:bCs/>
        </w:rPr>
        <w:t>Disclosure statement</w:t>
      </w:r>
    </w:p>
    <w:p w14:paraId="2CFDAAE3" w14:textId="77777777" w:rsidR="008053EA" w:rsidRPr="00064763" w:rsidRDefault="008053EA" w:rsidP="008053EA">
      <w:pPr>
        <w:spacing w:after="200"/>
        <w:jc w:val="both"/>
        <w:rPr>
          <w:rFonts w:ascii="Garamond" w:hAnsi="Garamond"/>
        </w:rPr>
      </w:pPr>
      <w:r w:rsidRPr="00064763">
        <w:rPr>
          <w:rFonts w:ascii="Garamond" w:hAnsi="Garamond"/>
        </w:rPr>
        <w:t>No potential conflict of interest was reported by the author(s).</w:t>
      </w:r>
    </w:p>
    <w:p w14:paraId="1A917ED0" w14:textId="77777777" w:rsidR="008053EA" w:rsidRPr="00064763" w:rsidRDefault="008053EA" w:rsidP="008053EA">
      <w:pPr>
        <w:spacing w:after="200"/>
        <w:jc w:val="both"/>
        <w:rPr>
          <w:rFonts w:ascii="Garamond" w:hAnsi="Garamond"/>
          <w:b/>
          <w:bCs/>
        </w:rPr>
      </w:pPr>
      <w:r w:rsidRPr="00064763">
        <w:rPr>
          <w:rFonts w:ascii="Garamond" w:hAnsi="Garamond"/>
          <w:b/>
          <w:bCs/>
        </w:rPr>
        <w:t>Data availability statement</w:t>
      </w:r>
    </w:p>
    <w:p w14:paraId="5ABABBD1" w14:textId="77777777" w:rsidR="008053EA" w:rsidRPr="00064763" w:rsidRDefault="008053EA" w:rsidP="008053EA">
      <w:pPr>
        <w:spacing w:after="200"/>
        <w:jc w:val="both"/>
        <w:rPr>
          <w:rFonts w:ascii="Garamond" w:hAnsi="Garamond"/>
        </w:rPr>
      </w:pPr>
      <w:r>
        <w:rPr>
          <w:rFonts w:ascii="Garamond" w:hAnsi="Garamond"/>
        </w:rPr>
        <w:t>The data presented in this study are available on request from the corresponding author due to privacy reasons.</w:t>
      </w:r>
    </w:p>
    <w:p w14:paraId="48C41AFD" w14:textId="77777777" w:rsidR="008053EA" w:rsidRPr="00064763" w:rsidRDefault="008053EA" w:rsidP="008053EA">
      <w:pPr>
        <w:spacing w:after="200"/>
        <w:jc w:val="both"/>
        <w:rPr>
          <w:rFonts w:ascii="Garamond" w:hAnsi="Garamond"/>
          <w:b/>
          <w:bCs/>
        </w:rPr>
      </w:pPr>
      <w:r w:rsidRPr="00064763">
        <w:rPr>
          <w:rFonts w:ascii="Garamond" w:hAnsi="Garamond"/>
          <w:b/>
          <w:bCs/>
        </w:rPr>
        <w:t>Funding</w:t>
      </w:r>
    </w:p>
    <w:p w14:paraId="264C427D" w14:textId="77777777" w:rsidR="008053EA" w:rsidRPr="00064763" w:rsidRDefault="008053EA" w:rsidP="008053EA">
      <w:pPr>
        <w:spacing w:after="200"/>
        <w:jc w:val="both"/>
        <w:rPr>
          <w:rFonts w:ascii="Garamond" w:hAnsi="Garamond"/>
        </w:rPr>
      </w:pPr>
      <w:r>
        <w:rPr>
          <w:rFonts w:ascii="Garamond" w:hAnsi="Garamond"/>
        </w:rPr>
        <w:t>This research received no external funding.</w:t>
      </w:r>
    </w:p>
    <w:p w14:paraId="569F826F" w14:textId="77777777" w:rsidR="008053EA" w:rsidRPr="00AF435B" w:rsidRDefault="008053EA" w:rsidP="008053EA">
      <w:pPr>
        <w:spacing w:after="200"/>
        <w:jc w:val="both"/>
        <w:rPr>
          <w:rFonts w:ascii="Garamond" w:hAnsi="Garamond"/>
          <w:b/>
          <w:bCs/>
        </w:rPr>
      </w:pPr>
      <w:r w:rsidRPr="00AF435B">
        <w:rPr>
          <w:rFonts w:ascii="Garamond" w:hAnsi="Garamond"/>
          <w:b/>
          <w:bCs/>
        </w:rPr>
        <w:t>Notes on Contributors</w:t>
      </w:r>
    </w:p>
    <w:p w14:paraId="581A6372" w14:textId="77777777" w:rsidR="0082224F" w:rsidRDefault="0082224F" w:rsidP="0082224F">
      <w:pPr>
        <w:spacing w:after="200"/>
        <w:jc w:val="both"/>
        <w:rPr>
          <w:rFonts w:ascii="Garamond" w:hAnsi="Garamond"/>
          <w:b/>
          <w:bCs/>
        </w:rPr>
      </w:pPr>
      <w:r w:rsidRPr="0082224F">
        <w:rPr>
          <w:rFonts w:ascii="Garamond" w:hAnsi="Garamond"/>
          <w:b/>
          <w:bCs/>
        </w:rPr>
        <w:t>Seno Sudarmono Hadi</w:t>
      </w:r>
    </w:p>
    <w:p w14:paraId="30417FD2" w14:textId="0765EDAD" w:rsidR="0082224F" w:rsidRPr="0082224F" w:rsidRDefault="0082224F" w:rsidP="0082224F">
      <w:pPr>
        <w:spacing w:after="200"/>
        <w:jc w:val="both"/>
        <w:rPr>
          <w:rFonts w:ascii="Garamond" w:hAnsi="Garamond"/>
          <w:b/>
          <w:bCs/>
        </w:rPr>
      </w:pPr>
      <w:r w:rsidRPr="0082224F">
        <w:rPr>
          <w:rFonts w:ascii="Garamond" w:hAnsi="Garamond"/>
        </w:rPr>
        <w:t xml:space="preserve">Seno Sudarmono Hadi is a doctoral student in Economics at the Faculty of Economics and Business, Universitas Pancasila, Jakarta, Indonesia. His research interests include consumer </w:t>
      </w:r>
      <w:proofErr w:type="spellStart"/>
      <w:r w:rsidRPr="0082224F">
        <w:rPr>
          <w:rFonts w:ascii="Garamond" w:hAnsi="Garamond"/>
        </w:rPr>
        <w:t>behavior</w:t>
      </w:r>
      <w:proofErr w:type="spellEnd"/>
      <w:r w:rsidRPr="0082224F">
        <w:rPr>
          <w:rFonts w:ascii="Garamond" w:hAnsi="Garamond"/>
        </w:rPr>
        <w:t>, service quality, and loyalty in the fast-food and retail sectors.</w:t>
      </w:r>
    </w:p>
    <w:p w14:paraId="4BF03684" w14:textId="2291E17F" w:rsidR="0082224F" w:rsidRDefault="0082224F" w:rsidP="0082224F">
      <w:pPr>
        <w:spacing w:after="200"/>
        <w:jc w:val="both"/>
        <w:rPr>
          <w:rFonts w:ascii="Garamond" w:hAnsi="Garamond"/>
        </w:rPr>
      </w:pPr>
      <w:proofErr w:type="spellStart"/>
      <w:r w:rsidRPr="0082224F">
        <w:rPr>
          <w:rFonts w:ascii="Garamond" w:hAnsi="Garamond"/>
          <w:b/>
          <w:bCs/>
        </w:rPr>
        <w:t>Darmansyah</w:t>
      </w:r>
      <w:proofErr w:type="spellEnd"/>
    </w:p>
    <w:p w14:paraId="5BD162EB" w14:textId="2186D042" w:rsidR="0082224F" w:rsidRPr="0082224F" w:rsidRDefault="0082224F" w:rsidP="0082224F">
      <w:pPr>
        <w:spacing w:after="200"/>
        <w:jc w:val="both"/>
        <w:rPr>
          <w:rFonts w:ascii="Garamond" w:hAnsi="Garamond"/>
        </w:rPr>
      </w:pPr>
      <w:r w:rsidRPr="0082224F">
        <w:rPr>
          <w:rFonts w:ascii="Garamond" w:hAnsi="Garamond"/>
        </w:rPr>
        <w:t xml:space="preserve">Dr. H. </w:t>
      </w:r>
      <w:proofErr w:type="spellStart"/>
      <w:r w:rsidRPr="0082224F">
        <w:rPr>
          <w:rFonts w:ascii="Garamond" w:hAnsi="Garamond"/>
        </w:rPr>
        <w:t>Darmansyah</w:t>
      </w:r>
      <w:proofErr w:type="spellEnd"/>
      <w:r w:rsidRPr="0082224F">
        <w:rPr>
          <w:rFonts w:ascii="Garamond" w:hAnsi="Garamond"/>
        </w:rPr>
        <w:t xml:space="preserve"> is a Lecturer in the Doctoral Economics Program at the Faculty of Economics and Business, Universitas Pancasila, Jakarta, Indonesia. He holds doctoral degrees from Universitas Ibn Khaldun and Universitas Pancasila. His academic expertise focuses on advanced management accounting, </w:t>
      </w:r>
      <w:r w:rsidRPr="0082224F">
        <w:rPr>
          <w:rFonts w:ascii="Garamond" w:hAnsi="Garamond"/>
        </w:rPr>
        <w:lastRenderedPageBreak/>
        <w:t>tax policy, SME competitiveness, and service quality. He has published in several peer-reviewed journals on topics including halal tourism, innovation strategies of SMEs, and e-commerce consumer satisfaction</w:t>
      </w:r>
    </w:p>
    <w:p w14:paraId="63EED7D2" w14:textId="77777777" w:rsidR="0082224F" w:rsidRDefault="0082224F" w:rsidP="0082224F">
      <w:pPr>
        <w:spacing w:after="200"/>
        <w:jc w:val="both"/>
        <w:rPr>
          <w:rFonts w:ascii="Garamond" w:hAnsi="Garamond"/>
          <w:b/>
          <w:bCs/>
        </w:rPr>
      </w:pPr>
      <w:r w:rsidRPr="0082224F">
        <w:rPr>
          <w:rFonts w:ascii="Garamond" w:hAnsi="Garamond"/>
          <w:b/>
          <w:bCs/>
        </w:rPr>
        <w:t xml:space="preserve">Sri </w:t>
      </w:r>
      <w:proofErr w:type="spellStart"/>
      <w:r w:rsidRPr="0082224F">
        <w:rPr>
          <w:rFonts w:ascii="Garamond" w:hAnsi="Garamond"/>
          <w:b/>
          <w:bCs/>
        </w:rPr>
        <w:t>Widyastuti</w:t>
      </w:r>
      <w:proofErr w:type="spellEnd"/>
    </w:p>
    <w:p w14:paraId="4C4DAE84" w14:textId="5CDA9211" w:rsidR="00847AC3" w:rsidRPr="00C60980" w:rsidRDefault="0082224F" w:rsidP="0082224F">
      <w:pPr>
        <w:spacing w:after="200"/>
        <w:jc w:val="both"/>
        <w:rPr>
          <w:rFonts w:ascii="Garamond" w:hAnsi="Garamond"/>
        </w:rPr>
      </w:pPr>
      <w:r w:rsidRPr="0082224F">
        <w:rPr>
          <w:rFonts w:ascii="Garamond" w:hAnsi="Garamond"/>
        </w:rPr>
        <w:t xml:space="preserve">Prof. Dr. Sri </w:t>
      </w:r>
      <w:proofErr w:type="spellStart"/>
      <w:r w:rsidRPr="0082224F">
        <w:rPr>
          <w:rFonts w:ascii="Garamond" w:hAnsi="Garamond"/>
        </w:rPr>
        <w:t>Widyastuti</w:t>
      </w:r>
      <w:proofErr w:type="spellEnd"/>
      <w:r w:rsidRPr="0082224F">
        <w:rPr>
          <w:rFonts w:ascii="Garamond" w:hAnsi="Garamond"/>
        </w:rPr>
        <w:t xml:space="preserve"> is a Professor of Management in the Doctoral Program at the Faculty of Economics and Business, Universitas Pancasila, Jakarta, Indonesia. Her expertise lies in global and digital marketing management, with research interests spanning service quality, SME competitiveness, e-commerce consumer satisfaction, and innovation strategies. She earned her doctorate in Management from Universitas </w:t>
      </w:r>
      <w:proofErr w:type="spellStart"/>
      <w:r w:rsidRPr="0082224F">
        <w:rPr>
          <w:rFonts w:ascii="Garamond" w:hAnsi="Garamond"/>
        </w:rPr>
        <w:t>Padjadjaran</w:t>
      </w:r>
      <w:proofErr w:type="spellEnd"/>
      <w:r w:rsidRPr="0082224F">
        <w:rPr>
          <w:rFonts w:ascii="Garamond" w:hAnsi="Garamond"/>
        </w:rPr>
        <w:t>, complemented by master’s degrees from Universitas Indonesia and STIE IPWI Jakarta. She has published extensively in peer-reviewed journals, including studies on halal tourism competitiveness, SME strategy, and modern retail marketing.</w:t>
      </w:r>
    </w:p>
    <w:p w14:paraId="65B905BD" w14:textId="69B8AFDD" w:rsidR="000A725F" w:rsidRDefault="00B315F0" w:rsidP="0054120A">
      <w:pPr>
        <w:contextualSpacing/>
        <w:jc w:val="both"/>
        <w:rPr>
          <w:rFonts w:ascii="Garamond" w:hAnsi="Garamond"/>
          <w:b/>
          <w:bCs/>
        </w:rPr>
      </w:pPr>
      <w:r w:rsidRPr="000A725F">
        <w:rPr>
          <w:rFonts w:ascii="Garamond" w:hAnsi="Garamond"/>
          <w:b/>
          <w:bCs/>
        </w:rPr>
        <w:t>REFERENCES</w:t>
      </w:r>
    </w:p>
    <w:p w14:paraId="3CD41940" w14:textId="77777777" w:rsidR="00E246F2" w:rsidRDefault="00E246F2" w:rsidP="0054120A">
      <w:pPr>
        <w:contextualSpacing/>
        <w:jc w:val="both"/>
        <w:rPr>
          <w:rFonts w:ascii="Garamond" w:hAnsi="Garamond"/>
          <w:b/>
          <w:bCs/>
        </w:rPr>
      </w:pPr>
    </w:p>
    <w:p w14:paraId="45285142" w14:textId="77777777" w:rsidR="0082224F" w:rsidRPr="0082224F" w:rsidRDefault="00E246F2" w:rsidP="0082224F">
      <w:pPr>
        <w:pStyle w:val="Bibliography"/>
        <w:spacing w:line="240" w:lineRule="auto"/>
        <w:jc w:val="both"/>
        <w:rPr>
          <w:rFonts w:ascii="Garamond" w:hAnsi="Garamond"/>
          <w:color w:val="4F81BD" w:themeColor="accent1"/>
        </w:rPr>
      </w:pPr>
      <w:r>
        <w:rPr>
          <w:rFonts w:ascii="Garamond" w:hAnsi="Garamond"/>
        </w:rPr>
        <w:fldChar w:fldCharType="begin"/>
      </w:r>
      <w:r w:rsidR="00487C77" w:rsidRPr="009723F7">
        <w:rPr>
          <w:rFonts w:ascii="Garamond" w:hAnsi="Garamond"/>
        </w:rPr>
        <w:instrText xml:space="preserve"> ADDIN ZOTERO_BIBL {"uncited":[],"omitted":[],"custom":[]} CSL_BIBLIOGRAPHY </w:instrText>
      </w:r>
      <w:r>
        <w:rPr>
          <w:rFonts w:ascii="Garamond" w:hAnsi="Garamond"/>
        </w:rPr>
        <w:fldChar w:fldCharType="separate"/>
      </w:r>
      <w:r w:rsidR="00621CEF" w:rsidRPr="00621CEF">
        <w:rPr>
          <w:rFonts w:ascii="Cambria" w:hAnsi="Cambria"/>
          <w:color w:val="000000"/>
          <w:sz w:val="21"/>
          <w:szCs w:val="21"/>
          <w:lang w:val="en-US" w:eastAsia="en-US"/>
        </w:rPr>
        <w:t xml:space="preserve"> </w:t>
      </w:r>
      <w:r w:rsidR="0082224F" w:rsidRPr="00793C3F">
        <w:rPr>
          <w:rFonts w:ascii="Garamond" w:hAnsi="Garamond"/>
        </w:rPr>
        <w:t>Adila, T. M., Bintang, W. S., Ikhsan, R. B., &amp; Fahlevi, M. (2020). Instagram as information in developing purchase intentions: The role of social E-</w:t>
      </w:r>
      <w:proofErr w:type="spellStart"/>
      <w:r w:rsidR="0082224F" w:rsidRPr="00793C3F">
        <w:rPr>
          <w:rFonts w:ascii="Garamond" w:hAnsi="Garamond"/>
        </w:rPr>
        <w:t>wom</w:t>
      </w:r>
      <w:proofErr w:type="spellEnd"/>
      <w:r w:rsidR="0082224F" w:rsidRPr="00793C3F">
        <w:rPr>
          <w:rFonts w:ascii="Garamond" w:hAnsi="Garamond"/>
        </w:rPr>
        <w:t xml:space="preserve"> and brand attitude. </w:t>
      </w:r>
      <w:r w:rsidR="0082224F" w:rsidRPr="00793C3F">
        <w:rPr>
          <w:rFonts w:ascii="Garamond" w:hAnsi="Garamond"/>
          <w:i/>
          <w:iCs/>
        </w:rPr>
        <w:t xml:space="preserve">Proc. Int. Conf. Inf. Manag. Technol., </w:t>
      </w:r>
      <w:proofErr w:type="spellStart"/>
      <w:r w:rsidR="0082224F" w:rsidRPr="00793C3F">
        <w:rPr>
          <w:rFonts w:ascii="Garamond" w:hAnsi="Garamond"/>
          <w:i/>
          <w:iCs/>
        </w:rPr>
        <w:t>ICIMTech</w:t>
      </w:r>
      <w:proofErr w:type="spellEnd"/>
      <w:r w:rsidR="0082224F" w:rsidRPr="00793C3F">
        <w:rPr>
          <w:rFonts w:ascii="Garamond" w:hAnsi="Garamond"/>
        </w:rPr>
        <w:t xml:space="preserve">, 427–431. Scopus. </w:t>
      </w:r>
      <w:r w:rsidR="0082224F" w:rsidRPr="0082224F">
        <w:rPr>
          <w:rFonts w:ascii="Garamond" w:hAnsi="Garamond"/>
          <w:color w:val="4F81BD" w:themeColor="accent1"/>
        </w:rPr>
        <w:t>https://doi.org/10.1109/ICIMTech50083.2020.9211151</w:t>
      </w:r>
    </w:p>
    <w:p w14:paraId="36C21DC7" w14:textId="77777777" w:rsidR="0082224F" w:rsidRPr="00793C3F" w:rsidRDefault="0082224F" w:rsidP="0082224F">
      <w:pPr>
        <w:pStyle w:val="Bibliography"/>
        <w:spacing w:line="240" w:lineRule="auto"/>
        <w:jc w:val="both"/>
        <w:rPr>
          <w:rFonts w:ascii="Garamond" w:hAnsi="Garamond"/>
        </w:rPr>
      </w:pPr>
      <w:proofErr w:type="spellStart"/>
      <w:r w:rsidRPr="00793C3F">
        <w:rPr>
          <w:rFonts w:ascii="Garamond" w:hAnsi="Garamond"/>
        </w:rPr>
        <w:t>Alhitmi</w:t>
      </w:r>
      <w:proofErr w:type="spellEnd"/>
      <w:r w:rsidRPr="00793C3F">
        <w:rPr>
          <w:rFonts w:ascii="Garamond" w:hAnsi="Garamond"/>
        </w:rPr>
        <w:t xml:space="preserve">, H. K., Shah, S. H. A., </w:t>
      </w:r>
      <w:proofErr w:type="spellStart"/>
      <w:r w:rsidRPr="00793C3F">
        <w:rPr>
          <w:rFonts w:ascii="Garamond" w:hAnsi="Garamond"/>
        </w:rPr>
        <w:t>Kishwer</w:t>
      </w:r>
      <w:proofErr w:type="spellEnd"/>
      <w:r w:rsidRPr="00793C3F">
        <w:rPr>
          <w:rFonts w:ascii="Garamond" w:hAnsi="Garamond"/>
        </w:rPr>
        <w:t xml:space="preserve">, R., Aman, N., Fahlevi, M., </w:t>
      </w:r>
      <w:proofErr w:type="spellStart"/>
      <w:r w:rsidRPr="00793C3F">
        <w:rPr>
          <w:rFonts w:ascii="Garamond" w:hAnsi="Garamond"/>
        </w:rPr>
        <w:t>Aljuaid</w:t>
      </w:r>
      <w:proofErr w:type="spellEnd"/>
      <w:r w:rsidRPr="00793C3F">
        <w:rPr>
          <w:rFonts w:ascii="Garamond" w:hAnsi="Garamond"/>
        </w:rPr>
        <w:t xml:space="preserve">, M., &amp; Heidler, P. (2023). Marketing from Leadership to Innovation: A Mediated Moderation Model Investigating How Transformational Leadership Impacts Employees’ Innovative </w:t>
      </w:r>
      <w:proofErr w:type="spellStart"/>
      <w:r w:rsidRPr="00793C3F">
        <w:rPr>
          <w:rFonts w:ascii="Garamond" w:hAnsi="Garamond"/>
        </w:rPr>
        <w:t>Behavior</w:t>
      </w:r>
      <w:proofErr w:type="spellEnd"/>
      <w:r w:rsidRPr="00793C3F">
        <w:rPr>
          <w:rFonts w:ascii="Garamond" w:hAnsi="Garamond"/>
        </w:rPr>
        <w:t xml:space="preserve">. </w:t>
      </w:r>
      <w:r w:rsidRPr="00793C3F">
        <w:rPr>
          <w:rFonts w:ascii="Garamond" w:hAnsi="Garamond"/>
          <w:i/>
          <w:iCs/>
        </w:rPr>
        <w:t>Sustainability</w:t>
      </w:r>
      <w:r w:rsidRPr="00793C3F">
        <w:rPr>
          <w:rFonts w:ascii="Garamond" w:hAnsi="Garamond"/>
        </w:rPr>
        <w:t xml:space="preserve">, </w:t>
      </w:r>
      <w:r w:rsidRPr="00793C3F">
        <w:rPr>
          <w:rFonts w:ascii="Garamond" w:hAnsi="Garamond"/>
          <w:i/>
          <w:iCs/>
        </w:rPr>
        <w:t>15</w:t>
      </w:r>
      <w:r w:rsidRPr="00793C3F">
        <w:rPr>
          <w:rFonts w:ascii="Garamond" w:hAnsi="Garamond"/>
        </w:rPr>
        <w:t xml:space="preserve">(22), Article 22. </w:t>
      </w:r>
      <w:r w:rsidRPr="0082224F">
        <w:rPr>
          <w:rFonts w:ascii="Garamond" w:hAnsi="Garamond"/>
          <w:color w:val="4F81BD" w:themeColor="accent1"/>
        </w:rPr>
        <w:t>https://doi.org/10.3390/su152216087</w:t>
      </w:r>
    </w:p>
    <w:p w14:paraId="4FFD3C1A" w14:textId="77777777" w:rsidR="0082224F" w:rsidRPr="00793C3F" w:rsidRDefault="0082224F" w:rsidP="0082224F">
      <w:pPr>
        <w:pStyle w:val="Bibliography"/>
        <w:spacing w:line="240" w:lineRule="auto"/>
        <w:jc w:val="both"/>
        <w:rPr>
          <w:rFonts w:ascii="Garamond" w:hAnsi="Garamond"/>
        </w:rPr>
      </w:pPr>
      <w:proofErr w:type="spellStart"/>
      <w:r w:rsidRPr="00793C3F">
        <w:rPr>
          <w:rFonts w:ascii="Garamond" w:hAnsi="Garamond"/>
        </w:rPr>
        <w:t>Ardini</w:t>
      </w:r>
      <w:proofErr w:type="spellEnd"/>
      <w:r w:rsidRPr="00793C3F">
        <w:rPr>
          <w:rFonts w:ascii="Garamond" w:hAnsi="Garamond"/>
        </w:rPr>
        <w:t xml:space="preserve">, L., Fahlevi, M., Dandi, M., Dahlan, O. P., &amp; Dahlan, S. P. (2024). Digital Financial Literacy and Its Impact on Financial Skills and Financial Goals in Indonesia’s Digital Payment Ecosystem. </w:t>
      </w:r>
      <w:r w:rsidRPr="00793C3F">
        <w:rPr>
          <w:rFonts w:ascii="Garamond" w:hAnsi="Garamond"/>
          <w:i/>
          <w:iCs/>
        </w:rPr>
        <w:t>Economic Studies</w:t>
      </w:r>
      <w:r w:rsidRPr="00793C3F">
        <w:rPr>
          <w:rFonts w:ascii="Garamond" w:hAnsi="Garamond"/>
        </w:rPr>
        <w:t xml:space="preserve">, </w:t>
      </w:r>
      <w:r w:rsidRPr="00793C3F">
        <w:rPr>
          <w:rFonts w:ascii="Garamond" w:hAnsi="Garamond"/>
          <w:i/>
          <w:iCs/>
        </w:rPr>
        <w:t>33</w:t>
      </w:r>
      <w:r w:rsidRPr="00793C3F">
        <w:rPr>
          <w:rFonts w:ascii="Garamond" w:hAnsi="Garamond"/>
        </w:rPr>
        <w:t>(7), 181–200.</w:t>
      </w:r>
    </w:p>
    <w:p w14:paraId="40F77EFF" w14:textId="77777777" w:rsidR="0082224F" w:rsidRPr="0082224F" w:rsidRDefault="0082224F" w:rsidP="0082224F">
      <w:pPr>
        <w:pStyle w:val="Bibliography"/>
        <w:spacing w:line="240" w:lineRule="auto"/>
        <w:jc w:val="both"/>
        <w:rPr>
          <w:rFonts w:ascii="Garamond" w:hAnsi="Garamond"/>
          <w:color w:val="4F81BD" w:themeColor="accent1"/>
        </w:rPr>
      </w:pPr>
      <w:proofErr w:type="spellStart"/>
      <w:r w:rsidRPr="00793C3F">
        <w:rPr>
          <w:rFonts w:ascii="Garamond" w:hAnsi="Garamond"/>
        </w:rPr>
        <w:t>Aulia</w:t>
      </w:r>
      <w:proofErr w:type="spellEnd"/>
      <w:r w:rsidRPr="00793C3F">
        <w:rPr>
          <w:rFonts w:ascii="Garamond" w:hAnsi="Garamond"/>
        </w:rPr>
        <w:t xml:space="preserve">, F., </w:t>
      </w:r>
      <w:proofErr w:type="spellStart"/>
      <w:r w:rsidRPr="00793C3F">
        <w:rPr>
          <w:rFonts w:ascii="Garamond" w:hAnsi="Garamond"/>
        </w:rPr>
        <w:t>Adviorika</w:t>
      </w:r>
      <w:proofErr w:type="spellEnd"/>
      <w:r w:rsidRPr="00793C3F">
        <w:rPr>
          <w:rFonts w:ascii="Garamond" w:hAnsi="Garamond"/>
        </w:rPr>
        <w:t xml:space="preserve"> U, C., </w:t>
      </w:r>
      <w:proofErr w:type="spellStart"/>
      <w:r w:rsidRPr="00793C3F">
        <w:rPr>
          <w:rFonts w:ascii="Garamond" w:hAnsi="Garamond"/>
        </w:rPr>
        <w:t>Yuniarty</w:t>
      </w:r>
      <w:proofErr w:type="spellEnd"/>
      <w:r w:rsidRPr="00793C3F">
        <w:rPr>
          <w:rFonts w:ascii="Garamond" w:hAnsi="Garamond"/>
        </w:rPr>
        <w:t xml:space="preserve">, Fahlevi, M., Prabowo, H., &amp; </w:t>
      </w:r>
      <w:proofErr w:type="spellStart"/>
      <w:r w:rsidRPr="00793C3F">
        <w:rPr>
          <w:rFonts w:ascii="Garamond" w:hAnsi="Garamond"/>
        </w:rPr>
        <w:t>Muchardie</w:t>
      </w:r>
      <w:proofErr w:type="spellEnd"/>
      <w:r w:rsidRPr="00793C3F">
        <w:rPr>
          <w:rFonts w:ascii="Garamond" w:hAnsi="Garamond"/>
        </w:rPr>
        <w:t xml:space="preserve">, B. G. (2021). Analysis of chatbot program features towards customer satisfaction in the era of digitalization. </w:t>
      </w:r>
      <w:r w:rsidRPr="00793C3F">
        <w:rPr>
          <w:rFonts w:ascii="Garamond" w:hAnsi="Garamond"/>
          <w:i/>
          <w:iCs/>
        </w:rPr>
        <w:t xml:space="preserve">Proc. Int. Conf. Inf. Manag. Technol., </w:t>
      </w:r>
      <w:proofErr w:type="spellStart"/>
      <w:r w:rsidRPr="00793C3F">
        <w:rPr>
          <w:rFonts w:ascii="Garamond" w:hAnsi="Garamond"/>
          <w:i/>
          <w:iCs/>
        </w:rPr>
        <w:t>ICIMTech</w:t>
      </w:r>
      <w:proofErr w:type="spellEnd"/>
      <w:r w:rsidRPr="00793C3F">
        <w:rPr>
          <w:rFonts w:ascii="Garamond" w:hAnsi="Garamond"/>
        </w:rPr>
        <w:t xml:space="preserve">, 604–607. Scopus. </w:t>
      </w:r>
      <w:r w:rsidRPr="0082224F">
        <w:rPr>
          <w:rFonts w:ascii="Garamond" w:hAnsi="Garamond"/>
          <w:color w:val="4F81BD" w:themeColor="accent1"/>
        </w:rPr>
        <w:t>https://doi.org/10.1109/ICIMTech53080.2021.9535034</w:t>
      </w:r>
    </w:p>
    <w:p w14:paraId="71CFD666"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lang w:val="fi-FI"/>
        </w:rPr>
        <w:t xml:space="preserve">Bulut, Z. A., &amp; Karabulut, A. N. (2018). </w:t>
      </w:r>
      <w:r w:rsidRPr="00793C3F">
        <w:rPr>
          <w:rFonts w:ascii="Garamond" w:hAnsi="Garamond"/>
        </w:rPr>
        <w:t xml:space="preserve">Examining the role of two aspects of </w:t>
      </w:r>
      <w:proofErr w:type="spellStart"/>
      <w:r w:rsidRPr="00793C3F">
        <w:rPr>
          <w:rFonts w:ascii="Garamond" w:hAnsi="Garamond"/>
        </w:rPr>
        <w:t>eWOM</w:t>
      </w:r>
      <w:proofErr w:type="spellEnd"/>
      <w:r w:rsidRPr="00793C3F">
        <w:rPr>
          <w:rFonts w:ascii="Garamond" w:hAnsi="Garamond"/>
        </w:rPr>
        <w:t xml:space="preserve"> in online repurchase intention: An integrated trust–loyalty perspective. </w:t>
      </w:r>
      <w:r w:rsidRPr="00793C3F">
        <w:rPr>
          <w:rFonts w:ascii="Garamond" w:hAnsi="Garamond"/>
          <w:i/>
          <w:iCs/>
        </w:rPr>
        <w:t>Journal of Consumer Behaviour</w:t>
      </w:r>
      <w:r w:rsidRPr="00793C3F">
        <w:rPr>
          <w:rFonts w:ascii="Garamond" w:hAnsi="Garamond"/>
        </w:rPr>
        <w:t xml:space="preserve">, </w:t>
      </w:r>
      <w:r w:rsidRPr="00793C3F">
        <w:rPr>
          <w:rFonts w:ascii="Garamond" w:hAnsi="Garamond"/>
          <w:i/>
          <w:iCs/>
        </w:rPr>
        <w:t>17</w:t>
      </w:r>
      <w:r w:rsidRPr="00793C3F">
        <w:rPr>
          <w:rFonts w:ascii="Garamond" w:hAnsi="Garamond"/>
        </w:rPr>
        <w:t xml:space="preserve">(4), 407–417. </w:t>
      </w:r>
      <w:r w:rsidRPr="0082224F">
        <w:rPr>
          <w:rFonts w:ascii="Garamond" w:hAnsi="Garamond"/>
          <w:color w:val="4F81BD" w:themeColor="accent1"/>
        </w:rPr>
        <w:t>https://doi.org/10.1002/cb.1721</w:t>
      </w:r>
    </w:p>
    <w:p w14:paraId="4D60F81F"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rPr>
        <w:t xml:space="preserve">Byrne, B. M. (2012). Choosing structural equation </w:t>
      </w:r>
      <w:proofErr w:type="spellStart"/>
      <w:r w:rsidRPr="00793C3F">
        <w:rPr>
          <w:rFonts w:ascii="Garamond" w:hAnsi="Garamond"/>
        </w:rPr>
        <w:t>modeling</w:t>
      </w:r>
      <w:proofErr w:type="spellEnd"/>
      <w:r w:rsidRPr="00793C3F">
        <w:rPr>
          <w:rFonts w:ascii="Garamond" w:hAnsi="Garamond"/>
        </w:rPr>
        <w:t xml:space="preserve"> computer software: Snapshots of LISREL, EQS, AMOS, and </w:t>
      </w:r>
      <w:proofErr w:type="spellStart"/>
      <w:r w:rsidRPr="00793C3F">
        <w:rPr>
          <w:rFonts w:ascii="Garamond" w:hAnsi="Garamond"/>
        </w:rPr>
        <w:t>Mplus</w:t>
      </w:r>
      <w:proofErr w:type="spellEnd"/>
      <w:r w:rsidRPr="00793C3F">
        <w:rPr>
          <w:rFonts w:ascii="Garamond" w:hAnsi="Garamond"/>
        </w:rPr>
        <w:t xml:space="preserve">. </w:t>
      </w:r>
      <w:r w:rsidRPr="00793C3F">
        <w:rPr>
          <w:rFonts w:ascii="Garamond" w:hAnsi="Garamond"/>
          <w:i/>
          <w:iCs/>
        </w:rPr>
        <w:t xml:space="preserve">Handbook of Structural Equation </w:t>
      </w:r>
      <w:proofErr w:type="spellStart"/>
      <w:r w:rsidRPr="00793C3F">
        <w:rPr>
          <w:rFonts w:ascii="Garamond" w:hAnsi="Garamond"/>
          <w:i/>
          <w:iCs/>
        </w:rPr>
        <w:t>Modeling</w:t>
      </w:r>
      <w:proofErr w:type="spellEnd"/>
      <w:r w:rsidRPr="00793C3F">
        <w:rPr>
          <w:rFonts w:ascii="Garamond" w:hAnsi="Garamond"/>
          <w:i/>
          <w:iCs/>
        </w:rPr>
        <w:t>.</w:t>
      </w:r>
      <w:r w:rsidRPr="00793C3F">
        <w:rPr>
          <w:rFonts w:ascii="Garamond" w:hAnsi="Garamond"/>
        </w:rPr>
        <w:t>, 307–324.</w:t>
      </w:r>
    </w:p>
    <w:p w14:paraId="1C1B9ADA" w14:textId="77777777" w:rsidR="0082224F" w:rsidRPr="00793C3F" w:rsidRDefault="0082224F" w:rsidP="0082224F">
      <w:pPr>
        <w:pStyle w:val="Bibliography"/>
        <w:spacing w:line="240" w:lineRule="auto"/>
        <w:jc w:val="both"/>
        <w:rPr>
          <w:rFonts w:ascii="Garamond" w:hAnsi="Garamond"/>
        </w:rPr>
      </w:pPr>
      <w:proofErr w:type="spellStart"/>
      <w:r w:rsidRPr="00793C3F">
        <w:rPr>
          <w:rFonts w:ascii="Garamond" w:hAnsi="Garamond"/>
        </w:rPr>
        <w:t>Chamhuri</w:t>
      </w:r>
      <w:proofErr w:type="spellEnd"/>
      <w:r w:rsidRPr="00793C3F">
        <w:rPr>
          <w:rFonts w:ascii="Garamond" w:hAnsi="Garamond"/>
        </w:rPr>
        <w:t xml:space="preserve">, N., &amp; Batt, P. J. (2015). Consumer perceptions of food quality in Malaysia. </w:t>
      </w:r>
      <w:r w:rsidRPr="00793C3F">
        <w:rPr>
          <w:rFonts w:ascii="Garamond" w:hAnsi="Garamond"/>
          <w:i/>
          <w:iCs/>
        </w:rPr>
        <w:t>British Food Journal</w:t>
      </w:r>
      <w:r w:rsidRPr="00793C3F">
        <w:rPr>
          <w:rFonts w:ascii="Garamond" w:hAnsi="Garamond"/>
        </w:rPr>
        <w:t xml:space="preserve">, </w:t>
      </w:r>
      <w:r w:rsidRPr="00793C3F">
        <w:rPr>
          <w:rFonts w:ascii="Garamond" w:hAnsi="Garamond"/>
          <w:i/>
          <w:iCs/>
        </w:rPr>
        <w:t>117</w:t>
      </w:r>
      <w:r w:rsidRPr="00793C3F">
        <w:rPr>
          <w:rFonts w:ascii="Garamond" w:hAnsi="Garamond"/>
        </w:rPr>
        <w:t xml:space="preserve">(3), 1168–1187. </w:t>
      </w:r>
      <w:r w:rsidRPr="0082224F">
        <w:rPr>
          <w:rFonts w:ascii="Garamond" w:hAnsi="Garamond"/>
          <w:color w:val="4F81BD" w:themeColor="accent1"/>
        </w:rPr>
        <w:t>https://doi.org/10.1108/BFJ-08-2013-0235</w:t>
      </w:r>
    </w:p>
    <w:p w14:paraId="6A104BA6" w14:textId="77777777" w:rsidR="0082224F" w:rsidRPr="0082224F" w:rsidRDefault="0082224F" w:rsidP="0082224F">
      <w:pPr>
        <w:pStyle w:val="Bibliography"/>
        <w:spacing w:line="240" w:lineRule="auto"/>
        <w:jc w:val="both"/>
        <w:rPr>
          <w:rFonts w:ascii="Garamond" w:hAnsi="Garamond"/>
          <w:color w:val="4F81BD" w:themeColor="accent1"/>
        </w:rPr>
      </w:pPr>
      <w:proofErr w:type="spellStart"/>
      <w:r w:rsidRPr="00793C3F">
        <w:rPr>
          <w:rFonts w:ascii="Garamond" w:hAnsi="Garamond"/>
        </w:rPr>
        <w:t>Cossío</w:t>
      </w:r>
      <w:proofErr w:type="spellEnd"/>
      <w:r w:rsidRPr="00793C3F">
        <w:rPr>
          <w:rFonts w:ascii="Garamond" w:hAnsi="Garamond"/>
        </w:rPr>
        <w:t xml:space="preserve">-Silva, F.-J., Revilla-Camacho, M.-Á., &amp; Vega-Vázquez, M. (2019). The tourist loyalty index: A new indicator for measuring tourist destination loyalty? </w:t>
      </w:r>
      <w:r w:rsidRPr="00793C3F">
        <w:rPr>
          <w:rFonts w:ascii="Garamond" w:hAnsi="Garamond"/>
          <w:i/>
          <w:iCs/>
        </w:rPr>
        <w:t>Journal of Innovation &amp; Knowledge</w:t>
      </w:r>
      <w:r w:rsidRPr="00793C3F">
        <w:rPr>
          <w:rFonts w:ascii="Garamond" w:hAnsi="Garamond"/>
        </w:rPr>
        <w:t xml:space="preserve">, </w:t>
      </w:r>
      <w:r w:rsidRPr="00793C3F">
        <w:rPr>
          <w:rFonts w:ascii="Garamond" w:hAnsi="Garamond"/>
          <w:i/>
          <w:iCs/>
        </w:rPr>
        <w:t>4</w:t>
      </w:r>
      <w:r w:rsidRPr="00793C3F">
        <w:rPr>
          <w:rFonts w:ascii="Garamond" w:hAnsi="Garamond"/>
        </w:rPr>
        <w:t xml:space="preserve">(2), 71–77. </w:t>
      </w:r>
      <w:r w:rsidRPr="0082224F">
        <w:rPr>
          <w:rFonts w:ascii="Garamond" w:hAnsi="Garamond"/>
          <w:color w:val="4F81BD" w:themeColor="accent1"/>
        </w:rPr>
        <w:t>https://doi.org/10.1016/j.jik.2017.10.003</w:t>
      </w:r>
    </w:p>
    <w:p w14:paraId="0E3310D3" w14:textId="77777777" w:rsidR="0082224F" w:rsidRPr="00793C3F" w:rsidRDefault="0082224F" w:rsidP="0082224F">
      <w:pPr>
        <w:pStyle w:val="Bibliography"/>
        <w:spacing w:line="240" w:lineRule="auto"/>
        <w:jc w:val="both"/>
        <w:rPr>
          <w:rFonts w:ascii="Garamond" w:hAnsi="Garamond"/>
        </w:rPr>
      </w:pPr>
      <w:proofErr w:type="spellStart"/>
      <w:r w:rsidRPr="00793C3F">
        <w:rPr>
          <w:rFonts w:ascii="Garamond" w:hAnsi="Garamond"/>
        </w:rPr>
        <w:t>Djakasaputra</w:t>
      </w:r>
      <w:proofErr w:type="spellEnd"/>
      <w:r w:rsidRPr="00793C3F">
        <w:rPr>
          <w:rFonts w:ascii="Garamond" w:hAnsi="Garamond"/>
        </w:rPr>
        <w:t xml:space="preserve">, A., Wijaya, O., Utama, A., Yohana, C., </w:t>
      </w:r>
      <w:proofErr w:type="spellStart"/>
      <w:r w:rsidRPr="00793C3F">
        <w:rPr>
          <w:rFonts w:ascii="Garamond" w:hAnsi="Garamond"/>
        </w:rPr>
        <w:t>Romadhoni</w:t>
      </w:r>
      <w:proofErr w:type="spellEnd"/>
      <w:r w:rsidRPr="00793C3F">
        <w:rPr>
          <w:rFonts w:ascii="Garamond" w:hAnsi="Garamond"/>
        </w:rPr>
        <w:t xml:space="preserve">, B., &amp; Fahlevi, M. (2021). Empirical study of Indonesian SMEs sales performance in digital era: The role of quality service and digital marketing. </w:t>
      </w:r>
      <w:r w:rsidRPr="00793C3F">
        <w:rPr>
          <w:rFonts w:ascii="Garamond" w:hAnsi="Garamond"/>
          <w:i/>
          <w:iCs/>
        </w:rPr>
        <w:t>International Journal of Data and Network Science</w:t>
      </w:r>
      <w:r w:rsidRPr="00793C3F">
        <w:rPr>
          <w:rFonts w:ascii="Garamond" w:hAnsi="Garamond"/>
        </w:rPr>
        <w:t xml:space="preserve">, </w:t>
      </w:r>
      <w:r w:rsidRPr="00793C3F">
        <w:rPr>
          <w:rFonts w:ascii="Garamond" w:hAnsi="Garamond"/>
          <w:i/>
          <w:iCs/>
        </w:rPr>
        <w:t>5</w:t>
      </w:r>
      <w:r w:rsidRPr="00793C3F">
        <w:rPr>
          <w:rFonts w:ascii="Garamond" w:hAnsi="Garamond"/>
        </w:rPr>
        <w:t>(3), 303–310.</w:t>
      </w:r>
    </w:p>
    <w:p w14:paraId="5819293F"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t xml:space="preserve">Fahlevi, M. (2023). A Systematic Literature Review on Marine Tourism in Business Management: State of the Art and Future Research Agenda. </w:t>
      </w:r>
      <w:r w:rsidRPr="00793C3F">
        <w:rPr>
          <w:rFonts w:ascii="Garamond" w:hAnsi="Garamond"/>
          <w:i/>
          <w:iCs/>
        </w:rPr>
        <w:t>Journal of Tourism and Services</w:t>
      </w:r>
      <w:r w:rsidRPr="00793C3F">
        <w:rPr>
          <w:rFonts w:ascii="Garamond" w:hAnsi="Garamond"/>
        </w:rPr>
        <w:t xml:space="preserve">, </w:t>
      </w:r>
      <w:r w:rsidRPr="00793C3F">
        <w:rPr>
          <w:rFonts w:ascii="Garamond" w:hAnsi="Garamond"/>
          <w:i/>
          <w:iCs/>
        </w:rPr>
        <w:t>14</w:t>
      </w:r>
      <w:r w:rsidRPr="00793C3F">
        <w:rPr>
          <w:rFonts w:ascii="Garamond" w:hAnsi="Garamond"/>
        </w:rPr>
        <w:t xml:space="preserve">(27), 299–321. </w:t>
      </w:r>
      <w:r w:rsidRPr="0082224F">
        <w:rPr>
          <w:rFonts w:ascii="Garamond" w:hAnsi="Garamond"/>
          <w:color w:val="4F81BD" w:themeColor="accent1"/>
        </w:rPr>
        <w:t>https://doi.org/10.29036/jots.v14i27.549</w:t>
      </w:r>
    </w:p>
    <w:p w14:paraId="5850315F"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t xml:space="preserve">Fahlevi, M. (2025). Experiential quality and satisfaction in marine tourism: A gendered analysis of post-visit </w:t>
      </w:r>
      <w:proofErr w:type="spellStart"/>
      <w:r w:rsidRPr="00793C3F">
        <w:rPr>
          <w:rFonts w:ascii="Garamond" w:hAnsi="Garamond"/>
        </w:rPr>
        <w:t>behavior</w:t>
      </w:r>
      <w:proofErr w:type="spellEnd"/>
      <w:r w:rsidRPr="00793C3F">
        <w:rPr>
          <w:rFonts w:ascii="Garamond" w:hAnsi="Garamond"/>
        </w:rPr>
        <w:t xml:space="preserve"> and frequency of visits in Lampung, Indonesia. </w:t>
      </w:r>
      <w:r w:rsidRPr="00793C3F">
        <w:rPr>
          <w:rFonts w:ascii="Garamond" w:hAnsi="Garamond"/>
          <w:i/>
          <w:iCs/>
        </w:rPr>
        <w:t>Cogent Social Sciences</w:t>
      </w:r>
      <w:r w:rsidRPr="00793C3F">
        <w:rPr>
          <w:rFonts w:ascii="Garamond" w:hAnsi="Garamond"/>
        </w:rPr>
        <w:t xml:space="preserve">. </w:t>
      </w:r>
      <w:r w:rsidRPr="0082224F">
        <w:rPr>
          <w:rFonts w:ascii="Garamond" w:hAnsi="Garamond"/>
          <w:color w:val="4F81BD" w:themeColor="accent1"/>
        </w:rPr>
        <w:t>https://www.tandfonline.com/doi/abs/10.1080/23311886.2025.2460811</w:t>
      </w:r>
    </w:p>
    <w:p w14:paraId="17830166"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t xml:space="preserve">Fahlevi, M., </w:t>
      </w:r>
      <w:proofErr w:type="spellStart"/>
      <w:r w:rsidRPr="00793C3F">
        <w:rPr>
          <w:rFonts w:ascii="Garamond" w:hAnsi="Garamond"/>
        </w:rPr>
        <w:t>Asdullah</w:t>
      </w:r>
      <w:proofErr w:type="spellEnd"/>
      <w:r w:rsidRPr="00793C3F">
        <w:rPr>
          <w:rFonts w:ascii="Garamond" w:hAnsi="Garamond"/>
        </w:rPr>
        <w:t xml:space="preserve">, M. A., Raza, F. A., </w:t>
      </w:r>
      <w:proofErr w:type="spellStart"/>
      <w:r w:rsidRPr="00793C3F">
        <w:rPr>
          <w:rFonts w:ascii="Garamond" w:hAnsi="Garamond"/>
        </w:rPr>
        <w:t>Watto</w:t>
      </w:r>
      <w:proofErr w:type="spellEnd"/>
      <w:r w:rsidRPr="00793C3F">
        <w:rPr>
          <w:rFonts w:ascii="Garamond" w:hAnsi="Garamond"/>
        </w:rPr>
        <w:t xml:space="preserve">, W. A., </w:t>
      </w:r>
      <w:proofErr w:type="spellStart"/>
      <w:r w:rsidRPr="00793C3F">
        <w:rPr>
          <w:rFonts w:ascii="Garamond" w:hAnsi="Garamond"/>
        </w:rPr>
        <w:t>Aljuaid</w:t>
      </w:r>
      <w:proofErr w:type="spellEnd"/>
      <w:r w:rsidRPr="00793C3F">
        <w:rPr>
          <w:rFonts w:ascii="Garamond" w:hAnsi="Garamond"/>
        </w:rPr>
        <w:t xml:space="preserve">, M., &amp; Aziz, A. L. (2024). The influence of information and communication technology on trade in developing countries and partners. </w:t>
      </w:r>
      <w:r w:rsidRPr="00793C3F">
        <w:rPr>
          <w:rFonts w:ascii="Garamond" w:hAnsi="Garamond"/>
          <w:i/>
          <w:iCs/>
        </w:rPr>
        <w:t>Cogent Business &amp; Management</w:t>
      </w:r>
      <w:r w:rsidRPr="00793C3F">
        <w:rPr>
          <w:rFonts w:ascii="Garamond" w:hAnsi="Garamond"/>
        </w:rPr>
        <w:t xml:space="preserve">, </w:t>
      </w:r>
      <w:r w:rsidRPr="00793C3F">
        <w:rPr>
          <w:rFonts w:ascii="Garamond" w:hAnsi="Garamond"/>
          <w:i/>
          <w:iCs/>
        </w:rPr>
        <w:t>11</w:t>
      </w:r>
      <w:r w:rsidRPr="00793C3F">
        <w:rPr>
          <w:rFonts w:ascii="Garamond" w:hAnsi="Garamond"/>
        </w:rPr>
        <w:t xml:space="preserve">(1), 2320814. </w:t>
      </w:r>
      <w:r w:rsidRPr="0082224F">
        <w:rPr>
          <w:rFonts w:ascii="Garamond" w:hAnsi="Garamond"/>
          <w:color w:val="4F81BD" w:themeColor="accent1"/>
        </w:rPr>
        <w:t>https://doi.org/10.1080/23311975.2024.2320814</w:t>
      </w:r>
    </w:p>
    <w:p w14:paraId="17D97183"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lastRenderedPageBreak/>
        <w:t xml:space="preserve">Fahlevi, M., Hasan, F., &amp; Islam, M. R. (2023). Exploring consumer attitudes and purchase intentions: </w:t>
      </w:r>
      <w:proofErr w:type="spellStart"/>
      <w:r w:rsidRPr="00793C3F">
        <w:rPr>
          <w:rFonts w:ascii="Garamond" w:hAnsi="Garamond"/>
        </w:rPr>
        <w:t>Unraveling</w:t>
      </w:r>
      <w:proofErr w:type="spellEnd"/>
      <w:r w:rsidRPr="00793C3F">
        <w:rPr>
          <w:rFonts w:ascii="Garamond" w:hAnsi="Garamond"/>
        </w:rPr>
        <w:t xml:space="preserve"> key influencers in China’s green agricultural products market. </w:t>
      </w:r>
      <w:r w:rsidRPr="00793C3F">
        <w:rPr>
          <w:rFonts w:ascii="Garamond" w:hAnsi="Garamond"/>
          <w:i/>
          <w:iCs/>
        </w:rPr>
        <w:t>Corporate and Business Strategy Review</w:t>
      </w:r>
      <w:r w:rsidRPr="00793C3F">
        <w:rPr>
          <w:rFonts w:ascii="Garamond" w:hAnsi="Garamond"/>
        </w:rPr>
        <w:t xml:space="preserve">, </w:t>
      </w:r>
      <w:r w:rsidRPr="00793C3F">
        <w:rPr>
          <w:rFonts w:ascii="Garamond" w:hAnsi="Garamond"/>
          <w:i/>
          <w:iCs/>
        </w:rPr>
        <w:t>4</w:t>
      </w:r>
      <w:r w:rsidRPr="00793C3F">
        <w:rPr>
          <w:rFonts w:ascii="Garamond" w:hAnsi="Garamond"/>
        </w:rPr>
        <w:t xml:space="preserve">(3), 74–87. </w:t>
      </w:r>
      <w:r w:rsidRPr="0082224F">
        <w:rPr>
          <w:rFonts w:ascii="Garamond" w:hAnsi="Garamond"/>
          <w:color w:val="4F81BD" w:themeColor="accent1"/>
        </w:rPr>
        <w:t>https://doi.org/10.22495/cbsrv4i3art8</w:t>
      </w:r>
    </w:p>
    <w:p w14:paraId="0BE45EB3"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rPr>
        <w:t xml:space="preserve">Fahlevi, M., </w:t>
      </w:r>
      <w:proofErr w:type="spellStart"/>
      <w:r w:rsidRPr="00793C3F">
        <w:rPr>
          <w:rFonts w:ascii="Garamond" w:hAnsi="Garamond"/>
        </w:rPr>
        <w:t>Syafira</w:t>
      </w:r>
      <w:proofErr w:type="spellEnd"/>
      <w:r w:rsidRPr="00793C3F">
        <w:rPr>
          <w:rFonts w:ascii="Garamond" w:hAnsi="Garamond"/>
        </w:rPr>
        <w:t xml:space="preserve">, A., </w:t>
      </w:r>
      <w:proofErr w:type="spellStart"/>
      <w:r w:rsidRPr="00793C3F">
        <w:rPr>
          <w:rFonts w:ascii="Garamond" w:hAnsi="Garamond"/>
        </w:rPr>
        <w:t>Fidyanurhuda</w:t>
      </w:r>
      <w:proofErr w:type="spellEnd"/>
      <w:r w:rsidRPr="00793C3F">
        <w:rPr>
          <w:rFonts w:ascii="Garamond" w:hAnsi="Garamond"/>
        </w:rPr>
        <w:t xml:space="preserve">, K. I., &amp; Nadia, N. (2023). The Influence of Social Media and EWOM on Generation Z’s Trust and Purchase Intentions at Coffee Shops. </w:t>
      </w:r>
      <w:r w:rsidRPr="00793C3F">
        <w:rPr>
          <w:rFonts w:ascii="Garamond" w:hAnsi="Garamond"/>
          <w:i/>
          <w:iCs/>
        </w:rPr>
        <w:t>2023 8th International Conference on Business and Industrial Research (ICBIR)</w:t>
      </w:r>
      <w:r w:rsidRPr="00793C3F">
        <w:rPr>
          <w:rFonts w:ascii="Garamond" w:hAnsi="Garamond"/>
        </w:rPr>
        <w:t xml:space="preserve">, 489–494. </w:t>
      </w:r>
      <w:r w:rsidRPr="0082224F">
        <w:rPr>
          <w:rFonts w:ascii="Garamond" w:hAnsi="Garamond"/>
          <w:color w:val="4F81BD" w:themeColor="accent1"/>
        </w:rPr>
        <w:t>https://doi.org/10.1109/ICBIR57571.2023.10147633</w:t>
      </w:r>
    </w:p>
    <w:p w14:paraId="53119DAB"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rPr>
        <w:t xml:space="preserve">Flavián, C., </w:t>
      </w:r>
      <w:proofErr w:type="spellStart"/>
      <w:r w:rsidRPr="00793C3F">
        <w:rPr>
          <w:rFonts w:ascii="Garamond" w:hAnsi="Garamond"/>
        </w:rPr>
        <w:t>Guinalíu</w:t>
      </w:r>
      <w:proofErr w:type="spellEnd"/>
      <w:r w:rsidRPr="00793C3F">
        <w:rPr>
          <w:rFonts w:ascii="Garamond" w:hAnsi="Garamond"/>
        </w:rPr>
        <w:t xml:space="preserve">, M., &amp; </w:t>
      </w:r>
      <w:proofErr w:type="spellStart"/>
      <w:r w:rsidRPr="00793C3F">
        <w:rPr>
          <w:rFonts w:ascii="Garamond" w:hAnsi="Garamond"/>
        </w:rPr>
        <w:t>Gurrea</w:t>
      </w:r>
      <w:proofErr w:type="spellEnd"/>
      <w:r w:rsidRPr="00793C3F">
        <w:rPr>
          <w:rFonts w:ascii="Garamond" w:hAnsi="Garamond"/>
        </w:rPr>
        <w:t xml:space="preserve">, R. (2006). The role played by perceived usability, satisfaction and consumer trust on website loyalty. </w:t>
      </w:r>
      <w:r w:rsidRPr="00793C3F">
        <w:rPr>
          <w:rFonts w:ascii="Garamond" w:hAnsi="Garamond"/>
          <w:i/>
          <w:iCs/>
        </w:rPr>
        <w:t>Information &amp; Management</w:t>
      </w:r>
      <w:r w:rsidRPr="00793C3F">
        <w:rPr>
          <w:rFonts w:ascii="Garamond" w:hAnsi="Garamond"/>
        </w:rPr>
        <w:t xml:space="preserve">, </w:t>
      </w:r>
      <w:r w:rsidRPr="00793C3F">
        <w:rPr>
          <w:rFonts w:ascii="Garamond" w:hAnsi="Garamond"/>
          <w:i/>
          <w:iCs/>
        </w:rPr>
        <w:t>43</w:t>
      </w:r>
      <w:r w:rsidRPr="00793C3F">
        <w:rPr>
          <w:rFonts w:ascii="Garamond" w:hAnsi="Garamond"/>
        </w:rPr>
        <w:t xml:space="preserve">(1), 1–14. </w:t>
      </w:r>
      <w:r w:rsidRPr="0082224F">
        <w:rPr>
          <w:rFonts w:ascii="Garamond" w:hAnsi="Garamond"/>
          <w:color w:val="4F81BD" w:themeColor="accent1"/>
        </w:rPr>
        <w:t>https://doi.org/10.1016/j.im.2005.01.002</w:t>
      </w:r>
    </w:p>
    <w:p w14:paraId="65DA7C24" w14:textId="77777777" w:rsidR="0082224F" w:rsidRPr="0082224F" w:rsidRDefault="0082224F" w:rsidP="0082224F">
      <w:pPr>
        <w:pStyle w:val="Bibliography"/>
        <w:spacing w:line="240" w:lineRule="auto"/>
        <w:jc w:val="both"/>
        <w:rPr>
          <w:rFonts w:ascii="Garamond" w:hAnsi="Garamond"/>
          <w:color w:val="4F81BD" w:themeColor="accent1"/>
        </w:rPr>
      </w:pPr>
      <w:proofErr w:type="spellStart"/>
      <w:r w:rsidRPr="00793C3F">
        <w:rPr>
          <w:rFonts w:ascii="Garamond" w:hAnsi="Garamond"/>
        </w:rPr>
        <w:t>Hanaysha</w:t>
      </w:r>
      <w:proofErr w:type="spellEnd"/>
      <w:r w:rsidRPr="00793C3F">
        <w:rPr>
          <w:rFonts w:ascii="Garamond" w:hAnsi="Garamond"/>
        </w:rPr>
        <w:t xml:space="preserve">, J. (2016). Testing the Effects of Employee Engagement, Work Environment, and Organizational Learning on Organizational Commitment. </w:t>
      </w:r>
      <w:r w:rsidRPr="00793C3F">
        <w:rPr>
          <w:rFonts w:ascii="Garamond" w:hAnsi="Garamond"/>
          <w:i/>
          <w:iCs/>
        </w:rPr>
        <w:t>5th International Conference on Leadership, Technology, Innovation and Business Management 2015, ICLTIBM 2015, 10-12 December 2015, Istanbul, Turkey</w:t>
      </w:r>
      <w:r w:rsidRPr="00793C3F">
        <w:rPr>
          <w:rFonts w:ascii="Garamond" w:hAnsi="Garamond"/>
        </w:rPr>
        <w:t xml:space="preserve">, </w:t>
      </w:r>
      <w:r w:rsidRPr="00793C3F">
        <w:rPr>
          <w:rFonts w:ascii="Garamond" w:hAnsi="Garamond"/>
          <w:i/>
          <w:iCs/>
        </w:rPr>
        <w:t>229</w:t>
      </w:r>
      <w:r w:rsidRPr="00793C3F">
        <w:rPr>
          <w:rFonts w:ascii="Garamond" w:hAnsi="Garamond"/>
        </w:rPr>
        <w:t xml:space="preserve">, 289–297. </w:t>
      </w:r>
      <w:r w:rsidRPr="0082224F">
        <w:rPr>
          <w:rFonts w:ascii="Garamond" w:hAnsi="Garamond"/>
          <w:color w:val="4F81BD" w:themeColor="accent1"/>
        </w:rPr>
        <w:t>https://doi.org/10.1016/j.sbspro.2016.07.139</w:t>
      </w:r>
    </w:p>
    <w:p w14:paraId="09D954D0"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lang w:val="fi-FI"/>
        </w:rPr>
        <w:t xml:space="preserve">Husainah, N., Paulina, J., Misrofingah, Pradipta, I. A., Maulana, A. E., &amp; Fahlevi, M. (2023). </w:t>
      </w:r>
      <w:r w:rsidRPr="00793C3F">
        <w:rPr>
          <w:rFonts w:ascii="Garamond" w:hAnsi="Garamond"/>
        </w:rPr>
        <w:t xml:space="preserve">Determining factors of digital wallet actual usage: A new model to identify changes in consumer </w:t>
      </w:r>
      <w:proofErr w:type="spellStart"/>
      <w:r w:rsidRPr="00793C3F">
        <w:rPr>
          <w:rFonts w:ascii="Garamond" w:hAnsi="Garamond"/>
        </w:rPr>
        <w:t>behavior</w:t>
      </w:r>
      <w:proofErr w:type="spellEnd"/>
      <w:r w:rsidRPr="00793C3F">
        <w:rPr>
          <w:rFonts w:ascii="Garamond" w:hAnsi="Garamond"/>
        </w:rPr>
        <w:t xml:space="preserve">. </w:t>
      </w:r>
      <w:r w:rsidRPr="00793C3F">
        <w:rPr>
          <w:rFonts w:ascii="Garamond" w:hAnsi="Garamond"/>
          <w:i/>
          <w:iCs/>
        </w:rPr>
        <w:t>International Journal of Data and Network Science</w:t>
      </w:r>
      <w:r w:rsidRPr="00793C3F">
        <w:rPr>
          <w:rFonts w:ascii="Garamond" w:hAnsi="Garamond"/>
        </w:rPr>
        <w:t xml:space="preserve">, </w:t>
      </w:r>
      <w:r w:rsidRPr="00793C3F">
        <w:rPr>
          <w:rFonts w:ascii="Garamond" w:hAnsi="Garamond"/>
          <w:i/>
          <w:iCs/>
        </w:rPr>
        <w:t>7</w:t>
      </w:r>
      <w:r w:rsidRPr="00793C3F">
        <w:rPr>
          <w:rFonts w:ascii="Garamond" w:hAnsi="Garamond"/>
        </w:rPr>
        <w:t xml:space="preserve">(2), 933–940. Scopus. </w:t>
      </w:r>
      <w:r w:rsidRPr="0082224F">
        <w:rPr>
          <w:rFonts w:ascii="Garamond" w:hAnsi="Garamond"/>
          <w:color w:val="4F81BD" w:themeColor="accent1"/>
        </w:rPr>
        <w:t>https://doi.org/10.5267/j.ijdns.2022.12.017</w:t>
      </w:r>
    </w:p>
    <w:p w14:paraId="719759F8"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lang w:val="fi-FI"/>
        </w:rPr>
        <w:t xml:space="preserve">Hussain, S., Ali, R., Emam, W., Tashkandy, Y., Mishra, P., Fahlevi, M., &amp; Matuka, A. (2023). </w:t>
      </w:r>
      <w:r w:rsidRPr="00793C3F">
        <w:rPr>
          <w:rFonts w:ascii="Garamond" w:hAnsi="Garamond"/>
        </w:rPr>
        <w:t xml:space="preserve">Economic Policy Uncertainty and Firm Value: Impact of Investment Sentiments in Energy and Petroleum. </w:t>
      </w:r>
      <w:r w:rsidRPr="00793C3F">
        <w:rPr>
          <w:rFonts w:ascii="Garamond" w:hAnsi="Garamond"/>
          <w:i/>
          <w:iCs/>
        </w:rPr>
        <w:t>Sustainability</w:t>
      </w:r>
      <w:r w:rsidRPr="00793C3F">
        <w:rPr>
          <w:rFonts w:ascii="Garamond" w:hAnsi="Garamond"/>
        </w:rPr>
        <w:t xml:space="preserve">, </w:t>
      </w:r>
      <w:r w:rsidRPr="00793C3F">
        <w:rPr>
          <w:rFonts w:ascii="Garamond" w:hAnsi="Garamond"/>
          <w:i/>
          <w:iCs/>
        </w:rPr>
        <w:t>15</w:t>
      </w:r>
      <w:r w:rsidRPr="00793C3F">
        <w:rPr>
          <w:rFonts w:ascii="Garamond" w:hAnsi="Garamond"/>
        </w:rPr>
        <w:t xml:space="preserve">(12), Article 12. </w:t>
      </w:r>
      <w:r w:rsidRPr="0082224F">
        <w:rPr>
          <w:rFonts w:ascii="Garamond" w:hAnsi="Garamond"/>
          <w:color w:val="4F81BD" w:themeColor="accent1"/>
        </w:rPr>
        <w:t>https://doi.org/10.3390/su15129656</w:t>
      </w:r>
    </w:p>
    <w:p w14:paraId="566377F4"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t xml:space="preserve">Iyer, P., Davari, A., &amp; Paswan, A. (2016). Green products: Altruism, economics, price fairness and purchase intention. </w:t>
      </w:r>
      <w:r w:rsidRPr="00793C3F">
        <w:rPr>
          <w:rFonts w:ascii="Garamond" w:hAnsi="Garamond"/>
          <w:i/>
          <w:iCs/>
        </w:rPr>
        <w:t>Social Business</w:t>
      </w:r>
      <w:r w:rsidRPr="00793C3F">
        <w:rPr>
          <w:rFonts w:ascii="Garamond" w:hAnsi="Garamond"/>
        </w:rPr>
        <w:t xml:space="preserve">, </w:t>
      </w:r>
      <w:r w:rsidRPr="00793C3F">
        <w:rPr>
          <w:rFonts w:ascii="Garamond" w:hAnsi="Garamond"/>
          <w:i/>
          <w:iCs/>
        </w:rPr>
        <w:t>6</w:t>
      </w:r>
      <w:r w:rsidRPr="00793C3F">
        <w:rPr>
          <w:rFonts w:ascii="Garamond" w:hAnsi="Garamond"/>
        </w:rPr>
        <w:t xml:space="preserve">(1), 39–64. </w:t>
      </w:r>
      <w:r w:rsidRPr="0082224F">
        <w:rPr>
          <w:rFonts w:ascii="Garamond" w:hAnsi="Garamond"/>
          <w:color w:val="4F81BD" w:themeColor="accent1"/>
        </w:rPr>
        <w:t>https://doi.org/10.1362/204440816X14636485174912</w:t>
      </w:r>
    </w:p>
    <w:p w14:paraId="40FDA508" w14:textId="77777777" w:rsidR="0082224F" w:rsidRPr="0082224F" w:rsidRDefault="0082224F" w:rsidP="0082224F">
      <w:pPr>
        <w:pStyle w:val="Bibliography"/>
        <w:spacing w:line="240" w:lineRule="auto"/>
        <w:jc w:val="both"/>
        <w:rPr>
          <w:rFonts w:ascii="Garamond" w:hAnsi="Garamond"/>
          <w:color w:val="4F81BD" w:themeColor="accent1"/>
        </w:rPr>
      </w:pPr>
      <w:proofErr w:type="spellStart"/>
      <w:r w:rsidRPr="00793C3F">
        <w:rPr>
          <w:rFonts w:ascii="Garamond" w:hAnsi="Garamond"/>
        </w:rPr>
        <w:t>Juwaini</w:t>
      </w:r>
      <w:proofErr w:type="spellEnd"/>
      <w:r w:rsidRPr="00793C3F">
        <w:rPr>
          <w:rFonts w:ascii="Garamond" w:hAnsi="Garamond"/>
        </w:rPr>
        <w:t xml:space="preserve">, A., </w:t>
      </w:r>
      <w:proofErr w:type="spellStart"/>
      <w:r w:rsidRPr="00793C3F">
        <w:rPr>
          <w:rFonts w:ascii="Garamond" w:hAnsi="Garamond"/>
        </w:rPr>
        <w:t>Chidir</w:t>
      </w:r>
      <w:proofErr w:type="spellEnd"/>
      <w:r w:rsidRPr="00793C3F">
        <w:rPr>
          <w:rFonts w:ascii="Garamond" w:hAnsi="Garamond"/>
        </w:rPr>
        <w:t xml:space="preserve">, G., </w:t>
      </w:r>
      <w:proofErr w:type="spellStart"/>
      <w:r w:rsidRPr="00793C3F">
        <w:rPr>
          <w:rFonts w:ascii="Garamond" w:hAnsi="Garamond"/>
        </w:rPr>
        <w:t>Novitasari</w:t>
      </w:r>
      <w:proofErr w:type="spellEnd"/>
      <w:r w:rsidRPr="00793C3F">
        <w:rPr>
          <w:rFonts w:ascii="Garamond" w:hAnsi="Garamond"/>
        </w:rPr>
        <w:t xml:space="preserve">, D., Iskandar, J., </w:t>
      </w:r>
      <w:proofErr w:type="spellStart"/>
      <w:r w:rsidRPr="00793C3F">
        <w:rPr>
          <w:rFonts w:ascii="Garamond" w:hAnsi="Garamond"/>
        </w:rPr>
        <w:t>Hutagalung</w:t>
      </w:r>
      <w:proofErr w:type="spellEnd"/>
      <w:r w:rsidRPr="00793C3F">
        <w:rPr>
          <w:rFonts w:ascii="Garamond" w:hAnsi="Garamond"/>
        </w:rPr>
        <w:t xml:space="preserve">, D., </w:t>
      </w:r>
      <w:proofErr w:type="spellStart"/>
      <w:r w:rsidRPr="00793C3F">
        <w:rPr>
          <w:rFonts w:ascii="Garamond" w:hAnsi="Garamond"/>
        </w:rPr>
        <w:t>Pramono</w:t>
      </w:r>
      <w:proofErr w:type="spellEnd"/>
      <w:r w:rsidRPr="00793C3F">
        <w:rPr>
          <w:rFonts w:ascii="Garamond" w:hAnsi="Garamond"/>
        </w:rPr>
        <w:t xml:space="preserve">, T., Maulana, A., </w:t>
      </w:r>
      <w:proofErr w:type="spellStart"/>
      <w:r w:rsidRPr="00793C3F">
        <w:rPr>
          <w:rFonts w:ascii="Garamond" w:hAnsi="Garamond"/>
        </w:rPr>
        <w:t>Safitri</w:t>
      </w:r>
      <w:proofErr w:type="spellEnd"/>
      <w:r w:rsidRPr="00793C3F">
        <w:rPr>
          <w:rFonts w:ascii="Garamond" w:hAnsi="Garamond"/>
        </w:rPr>
        <w:t xml:space="preserve">, K., Fahlevi, M., &amp; </w:t>
      </w:r>
      <w:proofErr w:type="spellStart"/>
      <w:r w:rsidRPr="00793C3F">
        <w:rPr>
          <w:rFonts w:ascii="Garamond" w:hAnsi="Garamond"/>
        </w:rPr>
        <w:t>Sulistyo</w:t>
      </w:r>
      <w:proofErr w:type="spellEnd"/>
      <w:r w:rsidRPr="00793C3F">
        <w:rPr>
          <w:rFonts w:ascii="Garamond" w:hAnsi="Garamond"/>
        </w:rPr>
        <w:t xml:space="preserve">, A. (2022). The role of customer e-trust, customer e-service quality and customer e-satisfaction on customer e-loyalty. </w:t>
      </w:r>
      <w:r w:rsidRPr="00793C3F">
        <w:rPr>
          <w:rFonts w:ascii="Garamond" w:hAnsi="Garamond"/>
          <w:i/>
          <w:iCs/>
        </w:rPr>
        <w:t>International Journal of Data and Network Science</w:t>
      </w:r>
      <w:r w:rsidRPr="00793C3F">
        <w:rPr>
          <w:rFonts w:ascii="Garamond" w:hAnsi="Garamond"/>
        </w:rPr>
        <w:t xml:space="preserve">, </w:t>
      </w:r>
      <w:r w:rsidRPr="00793C3F">
        <w:rPr>
          <w:rFonts w:ascii="Garamond" w:hAnsi="Garamond"/>
          <w:i/>
          <w:iCs/>
        </w:rPr>
        <w:t>6</w:t>
      </w:r>
      <w:r w:rsidRPr="00793C3F">
        <w:rPr>
          <w:rFonts w:ascii="Garamond" w:hAnsi="Garamond"/>
        </w:rPr>
        <w:t xml:space="preserve">(2), 477–486. </w:t>
      </w:r>
      <w:r w:rsidRPr="0082224F">
        <w:rPr>
          <w:rFonts w:ascii="Garamond" w:hAnsi="Garamond"/>
          <w:color w:val="4F81BD" w:themeColor="accent1"/>
        </w:rPr>
        <w:t>https://doi.org/10.5267/j.ijdns.2021.12.006</w:t>
      </w:r>
    </w:p>
    <w:p w14:paraId="5DB0F221"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lang w:val="fi-FI"/>
        </w:rPr>
        <w:t xml:space="preserve">Kang, C. W., &amp; Kvam, P. H. (2012). </w:t>
      </w:r>
      <w:r w:rsidRPr="00793C3F">
        <w:rPr>
          <w:rFonts w:ascii="Garamond" w:hAnsi="Garamond"/>
          <w:i/>
          <w:iCs/>
        </w:rPr>
        <w:t>Basic Statistical Tools for Improving Quality</w:t>
      </w:r>
      <w:r w:rsidRPr="00793C3F">
        <w:rPr>
          <w:rFonts w:ascii="Garamond" w:hAnsi="Garamond"/>
        </w:rPr>
        <w:t xml:space="preserve">. John Wiley &amp; Sons. </w:t>
      </w:r>
      <w:r w:rsidRPr="0082224F">
        <w:rPr>
          <w:rFonts w:ascii="Garamond" w:hAnsi="Garamond"/>
          <w:color w:val="4F81BD" w:themeColor="accent1"/>
        </w:rPr>
        <w:t>https://doi.org/10.1002/9781118491751</w:t>
      </w:r>
    </w:p>
    <w:p w14:paraId="6845CE1A" w14:textId="77777777" w:rsidR="0082224F" w:rsidRPr="00793C3F" w:rsidRDefault="0082224F" w:rsidP="0082224F">
      <w:pPr>
        <w:pStyle w:val="Bibliography"/>
        <w:spacing w:line="240" w:lineRule="auto"/>
        <w:jc w:val="both"/>
        <w:rPr>
          <w:rFonts w:ascii="Garamond" w:hAnsi="Garamond"/>
        </w:rPr>
      </w:pPr>
      <w:proofErr w:type="spellStart"/>
      <w:r w:rsidRPr="00793C3F">
        <w:rPr>
          <w:rFonts w:ascii="Garamond" w:hAnsi="Garamond"/>
        </w:rPr>
        <w:t>Khamaludin</w:t>
      </w:r>
      <w:proofErr w:type="spellEnd"/>
      <w:r w:rsidRPr="00793C3F">
        <w:rPr>
          <w:rFonts w:ascii="Garamond" w:hAnsi="Garamond"/>
        </w:rPr>
        <w:t xml:space="preserve">, K., Syam, S., </w:t>
      </w:r>
      <w:proofErr w:type="spellStart"/>
      <w:r w:rsidRPr="00793C3F">
        <w:rPr>
          <w:rFonts w:ascii="Garamond" w:hAnsi="Garamond"/>
        </w:rPr>
        <w:t>Rismaningsih</w:t>
      </w:r>
      <w:proofErr w:type="spellEnd"/>
      <w:r w:rsidRPr="00793C3F">
        <w:rPr>
          <w:rFonts w:ascii="Garamond" w:hAnsi="Garamond"/>
        </w:rPr>
        <w:t xml:space="preserve">, F., </w:t>
      </w:r>
      <w:proofErr w:type="spellStart"/>
      <w:r w:rsidRPr="00793C3F">
        <w:rPr>
          <w:rFonts w:ascii="Garamond" w:hAnsi="Garamond"/>
        </w:rPr>
        <w:t>Lusiani</w:t>
      </w:r>
      <w:proofErr w:type="spellEnd"/>
      <w:r w:rsidRPr="00793C3F">
        <w:rPr>
          <w:rFonts w:ascii="Garamond" w:hAnsi="Garamond"/>
        </w:rPr>
        <w:t xml:space="preserve">, L., </w:t>
      </w:r>
      <w:proofErr w:type="spellStart"/>
      <w:r w:rsidRPr="00793C3F">
        <w:rPr>
          <w:rFonts w:ascii="Garamond" w:hAnsi="Garamond"/>
        </w:rPr>
        <w:t>Arlianti</w:t>
      </w:r>
      <w:proofErr w:type="spellEnd"/>
      <w:r w:rsidRPr="00793C3F">
        <w:rPr>
          <w:rFonts w:ascii="Garamond" w:hAnsi="Garamond"/>
        </w:rPr>
        <w:t xml:space="preserve">, L., </w:t>
      </w:r>
      <w:proofErr w:type="spellStart"/>
      <w:r w:rsidRPr="00793C3F">
        <w:rPr>
          <w:rFonts w:ascii="Garamond" w:hAnsi="Garamond"/>
        </w:rPr>
        <w:t>Herlani</w:t>
      </w:r>
      <w:proofErr w:type="spellEnd"/>
      <w:r w:rsidRPr="00793C3F">
        <w:rPr>
          <w:rFonts w:ascii="Garamond" w:hAnsi="Garamond"/>
        </w:rPr>
        <w:t xml:space="preserve">, A., Fahlevi, M., </w:t>
      </w:r>
      <w:proofErr w:type="spellStart"/>
      <w:r w:rsidRPr="00793C3F">
        <w:rPr>
          <w:rFonts w:ascii="Garamond" w:hAnsi="Garamond"/>
        </w:rPr>
        <w:t>Rahmadi</w:t>
      </w:r>
      <w:proofErr w:type="spellEnd"/>
      <w:r w:rsidRPr="00793C3F">
        <w:rPr>
          <w:rFonts w:ascii="Garamond" w:hAnsi="Garamond"/>
        </w:rPr>
        <w:t xml:space="preserve">, R., </w:t>
      </w:r>
      <w:proofErr w:type="spellStart"/>
      <w:r w:rsidRPr="00793C3F">
        <w:rPr>
          <w:rFonts w:ascii="Garamond" w:hAnsi="Garamond"/>
        </w:rPr>
        <w:t>Windyasari</w:t>
      </w:r>
      <w:proofErr w:type="spellEnd"/>
      <w:r w:rsidRPr="00793C3F">
        <w:rPr>
          <w:rFonts w:ascii="Garamond" w:hAnsi="Garamond"/>
        </w:rPr>
        <w:t xml:space="preserve">, V., &amp; </w:t>
      </w:r>
      <w:proofErr w:type="spellStart"/>
      <w:r w:rsidRPr="00793C3F">
        <w:rPr>
          <w:rFonts w:ascii="Garamond" w:hAnsi="Garamond"/>
        </w:rPr>
        <w:t>Widiyatun</w:t>
      </w:r>
      <w:proofErr w:type="spellEnd"/>
      <w:r w:rsidRPr="00793C3F">
        <w:rPr>
          <w:rFonts w:ascii="Garamond" w:hAnsi="Garamond"/>
        </w:rPr>
        <w:t xml:space="preserve">, F. (2022). The influence of social media marketing, product innovation and market orientation on Indonesian SMEs marketing performance. </w:t>
      </w:r>
      <w:r w:rsidRPr="00793C3F">
        <w:rPr>
          <w:rFonts w:ascii="Garamond" w:hAnsi="Garamond"/>
          <w:i/>
          <w:iCs/>
        </w:rPr>
        <w:t>International Journal of Data and Network Science</w:t>
      </w:r>
      <w:r w:rsidRPr="00793C3F">
        <w:rPr>
          <w:rFonts w:ascii="Garamond" w:hAnsi="Garamond"/>
        </w:rPr>
        <w:t xml:space="preserve">, </w:t>
      </w:r>
      <w:r w:rsidRPr="00793C3F">
        <w:rPr>
          <w:rFonts w:ascii="Garamond" w:hAnsi="Garamond"/>
          <w:i/>
          <w:iCs/>
        </w:rPr>
        <w:t>6</w:t>
      </w:r>
      <w:r w:rsidRPr="00793C3F">
        <w:rPr>
          <w:rFonts w:ascii="Garamond" w:hAnsi="Garamond"/>
        </w:rPr>
        <w:t xml:space="preserve">(1), 9–16. </w:t>
      </w:r>
      <w:r w:rsidRPr="0082224F">
        <w:rPr>
          <w:rFonts w:ascii="Garamond" w:hAnsi="Garamond"/>
          <w:color w:val="4F81BD" w:themeColor="accent1"/>
        </w:rPr>
        <w:t>https://doi.org/10.5267/j.ijdns.2021.11.002</w:t>
      </w:r>
    </w:p>
    <w:p w14:paraId="5900ADC9"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t xml:space="preserve">Konuk, F. A. (2019). The influence of perceived food quality, price fairness, perceived value and satisfaction on customers’ revisit and word-of-mouth intentions towards organic food restaurants. </w:t>
      </w:r>
      <w:r w:rsidRPr="00793C3F">
        <w:rPr>
          <w:rFonts w:ascii="Garamond" w:hAnsi="Garamond"/>
          <w:i/>
          <w:iCs/>
        </w:rPr>
        <w:t>Journal of Retailing and Consumer Services</w:t>
      </w:r>
      <w:r w:rsidRPr="00793C3F">
        <w:rPr>
          <w:rFonts w:ascii="Garamond" w:hAnsi="Garamond"/>
        </w:rPr>
        <w:t xml:space="preserve">, </w:t>
      </w:r>
      <w:r w:rsidRPr="00793C3F">
        <w:rPr>
          <w:rFonts w:ascii="Garamond" w:hAnsi="Garamond"/>
          <w:i/>
          <w:iCs/>
        </w:rPr>
        <w:t>50</w:t>
      </w:r>
      <w:r w:rsidRPr="00793C3F">
        <w:rPr>
          <w:rFonts w:ascii="Garamond" w:hAnsi="Garamond"/>
        </w:rPr>
        <w:t xml:space="preserve">, 103–110. </w:t>
      </w:r>
      <w:r w:rsidRPr="0082224F">
        <w:rPr>
          <w:rFonts w:ascii="Garamond" w:hAnsi="Garamond"/>
          <w:color w:val="4F81BD" w:themeColor="accent1"/>
        </w:rPr>
        <w:t>https://doi.org/10.1016/j.jretconser.2019.05.005</w:t>
      </w:r>
    </w:p>
    <w:p w14:paraId="0A17D8E8" w14:textId="77777777" w:rsidR="0082224F" w:rsidRPr="0082224F" w:rsidRDefault="0082224F" w:rsidP="0082224F">
      <w:pPr>
        <w:pStyle w:val="Bibliography"/>
        <w:spacing w:line="240" w:lineRule="auto"/>
        <w:jc w:val="both"/>
        <w:rPr>
          <w:rFonts w:ascii="Garamond" w:hAnsi="Garamond"/>
          <w:color w:val="4F81BD" w:themeColor="accent1"/>
        </w:rPr>
      </w:pPr>
      <w:proofErr w:type="spellStart"/>
      <w:r w:rsidRPr="00793C3F">
        <w:rPr>
          <w:rFonts w:ascii="Garamond" w:hAnsi="Garamond"/>
        </w:rPr>
        <w:t>Kudeshia</w:t>
      </w:r>
      <w:proofErr w:type="spellEnd"/>
      <w:r w:rsidRPr="00793C3F">
        <w:rPr>
          <w:rFonts w:ascii="Garamond" w:hAnsi="Garamond"/>
        </w:rPr>
        <w:t xml:space="preserve">, C., &amp; Kumar, A. (2017). Social </w:t>
      </w:r>
      <w:proofErr w:type="spellStart"/>
      <w:r w:rsidRPr="00793C3F">
        <w:rPr>
          <w:rFonts w:ascii="Garamond" w:hAnsi="Garamond"/>
        </w:rPr>
        <w:t>eWOM</w:t>
      </w:r>
      <w:proofErr w:type="spellEnd"/>
      <w:r w:rsidRPr="00793C3F">
        <w:rPr>
          <w:rFonts w:ascii="Garamond" w:hAnsi="Garamond"/>
        </w:rPr>
        <w:t xml:space="preserve">: Does it affect the brand attitude and purchase intention of brands? </w:t>
      </w:r>
      <w:r w:rsidRPr="00793C3F">
        <w:rPr>
          <w:rFonts w:ascii="Garamond" w:hAnsi="Garamond"/>
          <w:i/>
          <w:iCs/>
        </w:rPr>
        <w:t>Management Research Review</w:t>
      </w:r>
      <w:r w:rsidRPr="00793C3F">
        <w:rPr>
          <w:rFonts w:ascii="Garamond" w:hAnsi="Garamond"/>
        </w:rPr>
        <w:t xml:space="preserve">, </w:t>
      </w:r>
      <w:r w:rsidRPr="00793C3F">
        <w:rPr>
          <w:rFonts w:ascii="Garamond" w:hAnsi="Garamond"/>
          <w:i/>
          <w:iCs/>
        </w:rPr>
        <w:t>40</w:t>
      </w:r>
      <w:r w:rsidRPr="00793C3F">
        <w:rPr>
          <w:rFonts w:ascii="Garamond" w:hAnsi="Garamond"/>
        </w:rPr>
        <w:t xml:space="preserve">(3), 310–330. </w:t>
      </w:r>
      <w:r w:rsidRPr="0082224F">
        <w:rPr>
          <w:rFonts w:ascii="Garamond" w:hAnsi="Garamond"/>
          <w:color w:val="4F81BD" w:themeColor="accent1"/>
        </w:rPr>
        <w:t>https://doi.org/10.1108/MRR-07-2015-0161</w:t>
      </w:r>
    </w:p>
    <w:p w14:paraId="4FE8EA70"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t xml:space="preserve">Li, L., Sun, N., Zhang, L., Xu, G., Liu, J., Hu, J., Zhang, Z., Lou, J., Deng, H., Shen, Z., &amp; Han, L. (2020). Fast food consumption among young adolescents aged 12–15 years in 54 low- and middle-income countries. </w:t>
      </w:r>
      <w:r w:rsidRPr="00793C3F">
        <w:rPr>
          <w:rFonts w:ascii="Garamond" w:hAnsi="Garamond"/>
          <w:i/>
          <w:iCs/>
        </w:rPr>
        <w:t>Global Health Action</w:t>
      </w:r>
      <w:r w:rsidRPr="00793C3F">
        <w:rPr>
          <w:rFonts w:ascii="Garamond" w:hAnsi="Garamond"/>
        </w:rPr>
        <w:t xml:space="preserve">, </w:t>
      </w:r>
      <w:r w:rsidRPr="00793C3F">
        <w:rPr>
          <w:rFonts w:ascii="Garamond" w:hAnsi="Garamond"/>
          <w:i/>
          <w:iCs/>
        </w:rPr>
        <w:t>13</w:t>
      </w:r>
      <w:r w:rsidRPr="00793C3F">
        <w:rPr>
          <w:rFonts w:ascii="Garamond" w:hAnsi="Garamond"/>
        </w:rPr>
        <w:t xml:space="preserve">(1), 1795438. </w:t>
      </w:r>
      <w:r w:rsidRPr="0082224F">
        <w:rPr>
          <w:rFonts w:ascii="Garamond" w:hAnsi="Garamond"/>
          <w:color w:val="4F81BD" w:themeColor="accent1"/>
        </w:rPr>
        <w:t>https://doi.org/10.1080/16549716.2020.1795438</w:t>
      </w:r>
    </w:p>
    <w:p w14:paraId="3576A055" w14:textId="77777777" w:rsidR="0082224F" w:rsidRPr="0082224F" w:rsidRDefault="0082224F" w:rsidP="0082224F">
      <w:pPr>
        <w:pStyle w:val="Bibliography"/>
        <w:spacing w:line="240" w:lineRule="auto"/>
        <w:jc w:val="both"/>
        <w:rPr>
          <w:rFonts w:ascii="Garamond" w:hAnsi="Garamond"/>
          <w:color w:val="4F81BD" w:themeColor="accent1"/>
        </w:rPr>
      </w:pPr>
      <w:proofErr w:type="spellStart"/>
      <w:r w:rsidRPr="00793C3F">
        <w:rPr>
          <w:rFonts w:ascii="Garamond" w:hAnsi="Garamond"/>
        </w:rPr>
        <w:t>Matroji</w:t>
      </w:r>
      <w:proofErr w:type="spellEnd"/>
      <w:r w:rsidRPr="00793C3F">
        <w:rPr>
          <w:rFonts w:ascii="Garamond" w:hAnsi="Garamond"/>
        </w:rPr>
        <w:t xml:space="preserve">, F. J., Mulyadi, K. P., Dandi, M., &amp; Fahlevi, M. (2023). Digital Influencers: Shaping Our Brand Choices and Purchase Intentions? A Moderation by Gender Perspective. </w:t>
      </w:r>
      <w:r w:rsidRPr="00793C3F">
        <w:rPr>
          <w:rFonts w:ascii="Garamond" w:hAnsi="Garamond"/>
          <w:i/>
          <w:iCs/>
        </w:rPr>
        <w:t>E3S Web of Conferences</w:t>
      </w:r>
      <w:r w:rsidRPr="00793C3F">
        <w:rPr>
          <w:rFonts w:ascii="Garamond" w:hAnsi="Garamond"/>
        </w:rPr>
        <w:t xml:space="preserve">, </w:t>
      </w:r>
      <w:r w:rsidRPr="00793C3F">
        <w:rPr>
          <w:rFonts w:ascii="Garamond" w:hAnsi="Garamond"/>
          <w:i/>
          <w:iCs/>
        </w:rPr>
        <w:t>426</w:t>
      </w:r>
      <w:r w:rsidRPr="00793C3F">
        <w:rPr>
          <w:rFonts w:ascii="Garamond" w:hAnsi="Garamond"/>
        </w:rPr>
        <w:t xml:space="preserve">, 01050. </w:t>
      </w:r>
      <w:r w:rsidRPr="0082224F">
        <w:rPr>
          <w:rFonts w:ascii="Garamond" w:hAnsi="Garamond"/>
          <w:color w:val="4F81BD" w:themeColor="accent1"/>
        </w:rPr>
        <w:t>https://doi.org/10.1051/e3sconf/202342601050</w:t>
      </w:r>
    </w:p>
    <w:p w14:paraId="22F1A7F6" w14:textId="77777777" w:rsidR="0082224F" w:rsidRPr="0082224F" w:rsidRDefault="0082224F" w:rsidP="0082224F">
      <w:pPr>
        <w:pStyle w:val="Bibliography"/>
        <w:spacing w:line="240" w:lineRule="auto"/>
        <w:jc w:val="both"/>
        <w:rPr>
          <w:rFonts w:ascii="Garamond" w:hAnsi="Garamond"/>
          <w:color w:val="4F81BD" w:themeColor="accent1"/>
          <w:lang w:val="fi-FI"/>
        </w:rPr>
      </w:pPr>
      <w:proofErr w:type="spellStart"/>
      <w:r w:rsidRPr="00793C3F">
        <w:rPr>
          <w:rFonts w:ascii="Garamond" w:hAnsi="Garamond"/>
        </w:rPr>
        <w:t>Meiryani</w:t>
      </w:r>
      <w:proofErr w:type="spellEnd"/>
      <w:r w:rsidRPr="00793C3F">
        <w:rPr>
          <w:rFonts w:ascii="Garamond" w:hAnsi="Garamond"/>
        </w:rPr>
        <w:t xml:space="preserve">, M., Delvin </w:t>
      </w:r>
      <w:proofErr w:type="spellStart"/>
      <w:r w:rsidRPr="00793C3F">
        <w:rPr>
          <w:rFonts w:ascii="Garamond" w:hAnsi="Garamond"/>
        </w:rPr>
        <w:t>Tandyopranoto</w:t>
      </w:r>
      <w:proofErr w:type="spellEnd"/>
      <w:r w:rsidRPr="00793C3F">
        <w:rPr>
          <w:rFonts w:ascii="Garamond" w:hAnsi="Garamond"/>
        </w:rPr>
        <w:t xml:space="preserve">, C., Emanuel, J., </w:t>
      </w:r>
      <w:proofErr w:type="spellStart"/>
      <w:r w:rsidRPr="00793C3F">
        <w:rPr>
          <w:rFonts w:ascii="Garamond" w:hAnsi="Garamond"/>
        </w:rPr>
        <w:t>Lindawati</w:t>
      </w:r>
      <w:proofErr w:type="spellEnd"/>
      <w:r w:rsidRPr="00793C3F">
        <w:rPr>
          <w:rFonts w:ascii="Garamond" w:hAnsi="Garamond"/>
        </w:rPr>
        <w:t xml:space="preserve">, A. S. L., Fahlevi, M., </w:t>
      </w:r>
      <w:proofErr w:type="spellStart"/>
      <w:r w:rsidRPr="00793C3F">
        <w:rPr>
          <w:rFonts w:ascii="Garamond" w:hAnsi="Garamond"/>
        </w:rPr>
        <w:t>Aljuaid</w:t>
      </w:r>
      <w:proofErr w:type="spellEnd"/>
      <w:r w:rsidRPr="00793C3F">
        <w:rPr>
          <w:rFonts w:ascii="Garamond" w:hAnsi="Garamond"/>
        </w:rPr>
        <w:t xml:space="preserve">, M., &amp; Hasan, F. (2022). The effect of global price movements on the energy sector commodity on bitcoin price movement during the COVID-19 pandemic. </w:t>
      </w:r>
      <w:r w:rsidRPr="00793C3F">
        <w:rPr>
          <w:rFonts w:ascii="Garamond" w:hAnsi="Garamond"/>
          <w:i/>
          <w:iCs/>
          <w:lang w:val="fi-FI"/>
        </w:rPr>
        <w:t>Heliyon</w:t>
      </w:r>
      <w:r w:rsidRPr="00793C3F">
        <w:rPr>
          <w:rFonts w:ascii="Garamond" w:hAnsi="Garamond"/>
          <w:lang w:val="fi-FI"/>
        </w:rPr>
        <w:t xml:space="preserve">, </w:t>
      </w:r>
      <w:r w:rsidRPr="00793C3F">
        <w:rPr>
          <w:rFonts w:ascii="Garamond" w:hAnsi="Garamond"/>
          <w:i/>
          <w:iCs/>
          <w:lang w:val="fi-FI"/>
        </w:rPr>
        <w:t>8</w:t>
      </w:r>
      <w:r w:rsidRPr="00793C3F">
        <w:rPr>
          <w:rFonts w:ascii="Garamond" w:hAnsi="Garamond"/>
          <w:lang w:val="fi-FI"/>
        </w:rPr>
        <w:t xml:space="preserve">(10), e10820. </w:t>
      </w:r>
      <w:r w:rsidRPr="0082224F">
        <w:rPr>
          <w:rFonts w:ascii="Garamond" w:hAnsi="Garamond"/>
          <w:color w:val="4F81BD" w:themeColor="accent1"/>
          <w:lang w:val="fi-FI"/>
        </w:rPr>
        <w:t>https://doi.org/10.1016/j.heliyon.2022.e10820</w:t>
      </w:r>
    </w:p>
    <w:p w14:paraId="2BC53BFF" w14:textId="77777777" w:rsidR="0082224F" w:rsidRPr="00793C3F" w:rsidRDefault="0082224F" w:rsidP="0082224F">
      <w:pPr>
        <w:pStyle w:val="Bibliography"/>
        <w:spacing w:line="240" w:lineRule="auto"/>
        <w:jc w:val="both"/>
        <w:rPr>
          <w:rFonts w:ascii="Garamond" w:hAnsi="Garamond"/>
        </w:rPr>
      </w:pPr>
      <w:r w:rsidRPr="0082224F">
        <w:rPr>
          <w:rFonts w:ascii="Garamond" w:hAnsi="Garamond"/>
        </w:rPr>
        <w:lastRenderedPageBreak/>
        <w:t xml:space="preserve">Molenaar, P. C. (2019). </w:t>
      </w:r>
      <w:r w:rsidRPr="00793C3F">
        <w:rPr>
          <w:rFonts w:ascii="Garamond" w:hAnsi="Garamond"/>
          <w:i/>
          <w:iCs/>
        </w:rPr>
        <w:t>Review of Multivariate Analysis With LISREL</w:t>
      </w:r>
      <w:r w:rsidRPr="00793C3F">
        <w:rPr>
          <w:rFonts w:ascii="Garamond" w:hAnsi="Garamond"/>
        </w:rPr>
        <w:t>.</w:t>
      </w:r>
    </w:p>
    <w:p w14:paraId="489B5EE2"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rPr>
        <w:t xml:space="preserve">Rajput, A., &amp; </w:t>
      </w:r>
      <w:proofErr w:type="spellStart"/>
      <w:r w:rsidRPr="00793C3F">
        <w:rPr>
          <w:rFonts w:ascii="Garamond" w:hAnsi="Garamond"/>
        </w:rPr>
        <w:t>Gahfoor</w:t>
      </w:r>
      <w:proofErr w:type="spellEnd"/>
      <w:r w:rsidRPr="00793C3F">
        <w:rPr>
          <w:rFonts w:ascii="Garamond" w:hAnsi="Garamond"/>
        </w:rPr>
        <w:t xml:space="preserve">, R. Z. (2020). Satisfaction and revisit intentions at fast food restaurants. </w:t>
      </w:r>
      <w:r w:rsidRPr="00793C3F">
        <w:rPr>
          <w:rFonts w:ascii="Garamond" w:hAnsi="Garamond"/>
          <w:i/>
          <w:iCs/>
        </w:rPr>
        <w:t>Future Business Journal</w:t>
      </w:r>
      <w:r w:rsidRPr="00793C3F">
        <w:rPr>
          <w:rFonts w:ascii="Garamond" w:hAnsi="Garamond"/>
        </w:rPr>
        <w:t xml:space="preserve">, </w:t>
      </w:r>
      <w:r w:rsidRPr="00793C3F">
        <w:rPr>
          <w:rFonts w:ascii="Garamond" w:hAnsi="Garamond"/>
          <w:i/>
          <w:iCs/>
        </w:rPr>
        <w:t>6</w:t>
      </w:r>
      <w:r w:rsidRPr="00793C3F">
        <w:rPr>
          <w:rFonts w:ascii="Garamond" w:hAnsi="Garamond"/>
        </w:rPr>
        <w:t xml:space="preserve">(1), 13. </w:t>
      </w:r>
      <w:r w:rsidRPr="0082224F">
        <w:rPr>
          <w:rFonts w:ascii="Garamond" w:hAnsi="Garamond"/>
          <w:color w:val="4F81BD" w:themeColor="accent1"/>
        </w:rPr>
        <w:t>https://doi.org/10.1186/s43093-020-00021-0</w:t>
      </w:r>
    </w:p>
    <w:p w14:paraId="0B93D541"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rPr>
        <w:t xml:space="preserve">Ryu, K., &amp; Han, H. (2010). Influence of the quality of food, service, and physical environment on customer satisfaction and </w:t>
      </w:r>
      <w:proofErr w:type="spellStart"/>
      <w:r w:rsidRPr="00793C3F">
        <w:rPr>
          <w:rFonts w:ascii="Garamond" w:hAnsi="Garamond"/>
        </w:rPr>
        <w:t>behavioral</w:t>
      </w:r>
      <w:proofErr w:type="spellEnd"/>
      <w:r w:rsidRPr="00793C3F">
        <w:rPr>
          <w:rFonts w:ascii="Garamond" w:hAnsi="Garamond"/>
        </w:rPr>
        <w:t xml:space="preserve"> intention in quick-casual restaurants: Moderating role of perceived price. </w:t>
      </w:r>
      <w:r w:rsidRPr="00793C3F">
        <w:rPr>
          <w:rFonts w:ascii="Garamond" w:hAnsi="Garamond"/>
          <w:i/>
          <w:iCs/>
        </w:rPr>
        <w:t>Journal of Hospitality &amp; Tourism Research</w:t>
      </w:r>
      <w:r w:rsidRPr="00793C3F">
        <w:rPr>
          <w:rFonts w:ascii="Garamond" w:hAnsi="Garamond"/>
        </w:rPr>
        <w:t xml:space="preserve">, </w:t>
      </w:r>
      <w:r w:rsidRPr="00793C3F">
        <w:rPr>
          <w:rFonts w:ascii="Garamond" w:hAnsi="Garamond"/>
          <w:i/>
          <w:iCs/>
        </w:rPr>
        <w:t>34</w:t>
      </w:r>
      <w:r w:rsidRPr="00793C3F">
        <w:rPr>
          <w:rFonts w:ascii="Garamond" w:hAnsi="Garamond"/>
        </w:rPr>
        <w:t>(3), 310–329.</w:t>
      </w:r>
    </w:p>
    <w:p w14:paraId="4168C73A"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rPr>
        <w:t xml:space="preserve">Sahir, S., Fahlevi, M., </w:t>
      </w:r>
      <w:proofErr w:type="spellStart"/>
      <w:r w:rsidRPr="00793C3F">
        <w:rPr>
          <w:rFonts w:ascii="Garamond" w:hAnsi="Garamond"/>
        </w:rPr>
        <w:t>Kasbuntoro</w:t>
      </w:r>
      <w:proofErr w:type="spellEnd"/>
      <w:r w:rsidRPr="00793C3F">
        <w:rPr>
          <w:rFonts w:ascii="Garamond" w:hAnsi="Garamond"/>
        </w:rPr>
        <w:t xml:space="preserve">, K., &amp; </w:t>
      </w:r>
      <w:proofErr w:type="spellStart"/>
      <w:r w:rsidRPr="00793C3F">
        <w:rPr>
          <w:rFonts w:ascii="Garamond" w:hAnsi="Garamond"/>
        </w:rPr>
        <w:t>Sutia</w:t>
      </w:r>
      <w:proofErr w:type="spellEnd"/>
      <w:r w:rsidRPr="00793C3F">
        <w:rPr>
          <w:rFonts w:ascii="Garamond" w:hAnsi="Garamond"/>
        </w:rPr>
        <w:t xml:space="preserve">, S. (2021). Effect of halal food management system certification on buying interest of Indonesian consumer goods. </w:t>
      </w:r>
      <w:r w:rsidRPr="00793C3F">
        <w:rPr>
          <w:rFonts w:ascii="Garamond" w:hAnsi="Garamond"/>
          <w:i/>
          <w:iCs/>
        </w:rPr>
        <w:t>Uncertain Supply Chain Management</w:t>
      </w:r>
      <w:r w:rsidRPr="00793C3F">
        <w:rPr>
          <w:rFonts w:ascii="Garamond" w:hAnsi="Garamond"/>
        </w:rPr>
        <w:t xml:space="preserve">, </w:t>
      </w:r>
      <w:r w:rsidRPr="00793C3F">
        <w:rPr>
          <w:rFonts w:ascii="Garamond" w:hAnsi="Garamond"/>
          <w:i/>
          <w:iCs/>
        </w:rPr>
        <w:t>9</w:t>
      </w:r>
      <w:r w:rsidRPr="00793C3F">
        <w:rPr>
          <w:rFonts w:ascii="Garamond" w:hAnsi="Garamond"/>
        </w:rPr>
        <w:t>(3), 731–738.</w:t>
      </w:r>
    </w:p>
    <w:p w14:paraId="6016E0A6" w14:textId="77777777" w:rsidR="0082224F" w:rsidRPr="0082224F" w:rsidRDefault="0082224F" w:rsidP="0082224F">
      <w:pPr>
        <w:pStyle w:val="Bibliography"/>
        <w:spacing w:line="240" w:lineRule="auto"/>
        <w:jc w:val="both"/>
        <w:rPr>
          <w:rFonts w:ascii="Garamond" w:hAnsi="Garamond"/>
          <w:color w:val="4F81BD" w:themeColor="accent1"/>
        </w:rPr>
      </w:pPr>
      <w:proofErr w:type="spellStart"/>
      <w:r w:rsidRPr="00793C3F">
        <w:rPr>
          <w:rFonts w:ascii="Garamond" w:hAnsi="Garamond"/>
        </w:rPr>
        <w:t>Setyaningrum</w:t>
      </w:r>
      <w:proofErr w:type="spellEnd"/>
      <w:r w:rsidRPr="00793C3F">
        <w:rPr>
          <w:rFonts w:ascii="Garamond" w:hAnsi="Garamond"/>
        </w:rPr>
        <w:t xml:space="preserve">, R. P., </w:t>
      </w:r>
      <w:proofErr w:type="spellStart"/>
      <w:r w:rsidRPr="00793C3F">
        <w:rPr>
          <w:rFonts w:ascii="Garamond" w:hAnsi="Garamond"/>
        </w:rPr>
        <w:t>Ratnasari</w:t>
      </w:r>
      <w:proofErr w:type="spellEnd"/>
      <w:r w:rsidRPr="00793C3F">
        <w:rPr>
          <w:rFonts w:ascii="Garamond" w:hAnsi="Garamond"/>
        </w:rPr>
        <w:t xml:space="preserve">, S. L., </w:t>
      </w:r>
      <w:proofErr w:type="spellStart"/>
      <w:r w:rsidRPr="00793C3F">
        <w:rPr>
          <w:rFonts w:ascii="Garamond" w:hAnsi="Garamond"/>
        </w:rPr>
        <w:t>Soelistya</w:t>
      </w:r>
      <w:proofErr w:type="spellEnd"/>
      <w:r w:rsidRPr="00793C3F">
        <w:rPr>
          <w:rFonts w:ascii="Garamond" w:hAnsi="Garamond"/>
        </w:rPr>
        <w:t xml:space="preserve">, D., Purwati, T., </w:t>
      </w:r>
      <w:proofErr w:type="spellStart"/>
      <w:r w:rsidRPr="00793C3F">
        <w:rPr>
          <w:rFonts w:ascii="Garamond" w:hAnsi="Garamond"/>
        </w:rPr>
        <w:t>Desembrianita</w:t>
      </w:r>
      <w:proofErr w:type="spellEnd"/>
      <w:r w:rsidRPr="00793C3F">
        <w:rPr>
          <w:rFonts w:ascii="Garamond" w:hAnsi="Garamond"/>
        </w:rPr>
        <w:t xml:space="preserve">, E., &amp; Fahlevi, M. (2024). Green human resource management and millennial retention in Indonesian tech startups: Mediating roles of job expectations and self-efficacy. </w:t>
      </w:r>
      <w:r w:rsidRPr="00793C3F">
        <w:rPr>
          <w:rFonts w:ascii="Garamond" w:hAnsi="Garamond"/>
          <w:i/>
          <w:iCs/>
        </w:rPr>
        <w:t>Cogent Business &amp; Management</w:t>
      </w:r>
      <w:r w:rsidRPr="00793C3F">
        <w:rPr>
          <w:rFonts w:ascii="Garamond" w:hAnsi="Garamond"/>
        </w:rPr>
        <w:t xml:space="preserve">, </w:t>
      </w:r>
      <w:r w:rsidRPr="00793C3F">
        <w:rPr>
          <w:rFonts w:ascii="Garamond" w:hAnsi="Garamond"/>
          <w:i/>
          <w:iCs/>
        </w:rPr>
        <w:t>11</w:t>
      </w:r>
      <w:r w:rsidRPr="00793C3F">
        <w:rPr>
          <w:rFonts w:ascii="Garamond" w:hAnsi="Garamond"/>
        </w:rPr>
        <w:t xml:space="preserve">(1), 2348718. </w:t>
      </w:r>
      <w:r w:rsidRPr="0082224F">
        <w:rPr>
          <w:rFonts w:ascii="Garamond" w:hAnsi="Garamond"/>
          <w:color w:val="4F81BD" w:themeColor="accent1"/>
        </w:rPr>
        <w:t>https://doi.org/10.1080/23311975.2024.2348718</w:t>
      </w:r>
    </w:p>
    <w:p w14:paraId="066572DE" w14:textId="77777777" w:rsidR="0082224F" w:rsidRPr="0082224F" w:rsidRDefault="0082224F" w:rsidP="0082224F">
      <w:pPr>
        <w:pStyle w:val="Bibliography"/>
        <w:spacing w:line="240" w:lineRule="auto"/>
        <w:jc w:val="both"/>
        <w:rPr>
          <w:rFonts w:ascii="Garamond" w:hAnsi="Garamond"/>
          <w:color w:val="4F81BD" w:themeColor="accent1"/>
        </w:rPr>
      </w:pPr>
      <w:r w:rsidRPr="0082224F">
        <w:rPr>
          <w:rFonts w:ascii="Garamond" w:hAnsi="Garamond"/>
          <w:lang w:val="fi-FI"/>
        </w:rPr>
        <w:t xml:space="preserve">Sutia, S., Adha, S., &amp; Fahlevi, M. (2019). </w:t>
      </w:r>
      <w:r w:rsidRPr="00793C3F">
        <w:rPr>
          <w:rFonts w:ascii="Garamond" w:hAnsi="Garamond"/>
          <w:i/>
          <w:iCs/>
        </w:rPr>
        <w:t>Why do Customers Intend to Repurchase Transportation Online in Indonesia?</w:t>
      </w:r>
      <w:r w:rsidRPr="00793C3F">
        <w:rPr>
          <w:rFonts w:ascii="Garamond" w:hAnsi="Garamond"/>
        </w:rPr>
        <w:t xml:space="preserve"> </w:t>
      </w:r>
      <w:r w:rsidRPr="00793C3F">
        <w:rPr>
          <w:rFonts w:ascii="Garamond" w:hAnsi="Garamond"/>
          <w:i/>
          <w:iCs/>
        </w:rPr>
        <w:t>125</w:t>
      </w:r>
      <w:r w:rsidRPr="00793C3F">
        <w:rPr>
          <w:rFonts w:ascii="Garamond" w:hAnsi="Garamond"/>
        </w:rPr>
        <w:t xml:space="preserve">, 1–5. </w:t>
      </w:r>
      <w:r w:rsidRPr="0082224F">
        <w:rPr>
          <w:rFonts w:ascii="Garamond" w:hAnsi="Garamond"/>
          <w:color w:val="4F81BD" w:themeColor="accent1"/>
        </w:rPr>
        <w:t>https://doi.org/10.1051/e3sconf/201912523010</w:t>
      </w:r>
    </w:p>
    <w:p w14:paraId="089B2448"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rPr>
        <w:t xml:space="preserve">Zeithaml, V. A., Berry, L. L., &amp; Parasuraman, A. (1996). The </w:t>
      </w:r>
      <w:proofErr w:type="spellStart"/>
      <w:r w:rsidRPr="00793C3F">
        <w:rPr>
          <w:rFonts w:ascii="Garamond" w:hAnsi="Garamond"/>
        </w:rPr>
        <w:t>behavioral</w:t>
      </w:r>
      <w:proofErr w:type="spellEnd"/>
      <w:r w:rsidRPr="00793C3F">
        <w:rPr>
          <w:rFonts w:ascii="Garamond" w:hAnsi="Garamond"/>
        </w:rPr>
        <w:t xml:space="preserve"> consequences of service quality. </w:t>
      </w:r>
      <w:r w:rsidRPr="00793C3F">
        <w:rPr>
          <w:rFonts w:ascii="Garamond" w:hAnsi="Garamond"/>
          <w:i/>
          <w:iCs/>
        </w:rPr>
        <w:t>Journal of Marketing</w:t>
      </w:r>
      <w:r w:rsidRPr="00793C3F">
        <w:rPr>
          <w:rFonts w:ascii="Garamond" w:hAnsi="Garamond"/>
        </w:rPr>
        <w:t xml:space="preserve">, </w:t>
      </w:r>
      <w:r w:rsidRPr="00793C3F">
        <w:rPr>
          <w:rFonts w:ascii="Garamond" w:hAnsi="Garamond"/>
          <w:i/>
          <w:iCs/>
        </w:rPr>
        <w:t>60</w:t>
      </w:r>
      <w:r w:rsidRPr="00793C3F">
        <w:rPr>
          <w:rFonts w:ascii="Garamond" w:hAnsi="Garamond"/>
        </w:rPr>
        <w:t>(2), 31–46.</w:t>
      </w:r>
    </w:p>
    <w:p w14:paraId="42CBA0D8"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t xml:space="preserve">Zhong, Y., &amp; Moon, H. C. (2020). What Drives Customer Satisfaction, Loyalty, and Happiness in Fast-Food Restaurants in China? Perceived Price, Service Quality, Food Quality, Physical Environment Quality, and the Moderating Role of Gender. </w:t>
      </w:r>
      <w:r w:rsidRPr="00793C3F">
        <w:rPr>
          <w:rFonts w:ascii="Garamond" w:hAnsi="Garamond"/>
          <w:i/>
          <w:iCs/>
        </w:rPr>
        <w:t>Foods</w:t>
      </w:r>
      <w:r w:rsidRPr="00793C3F">
        <w:rPr>
          <w:rFonts w:ascii="Garamond" w:hAnsi="Garamond"/>
        </w:rPr>
        <w:t xml:space="preserve">, </w:t>
      </w:r>
      <w:r w:rsidRPr="00793C3F">
        <w:rPr>
          <w:rFonts w:ascii="Garamond" w:hAnsi="Garamond"/>
          <w:i/>
          <w:iCs/>
        </w:rPr>
        <w:t>9</w:t>
      </w:r>
      <w:r w:rsidRPr="00793C3F">
        <w:rPr>
          <w:rFonts w:ascii="Garamond" w:hAnsi="Garamond"/>
        </w:rPr>
        <w:t xml:space="preserve">(4), Article 4. </w:t>
      </w:r>
      <w:r w:rsidRPr="0082224F">
        <w:rPr>
          <w:rFonts w:ascii="Garamond" w:hAnsi="Garamond"/>
          <w:color w:val="4F81BD" w:themeColor="accent1"/>
        </w:rPr>
        <w:t>https://doi.org/10.3390/foods9040460</w:t>
      </w:r>
    </w:p>
    <w:p w14:paraId="18E64B46" w14:textId="77777777" w:rsidR="0082224F" w:rsidRPr="0082224F" w:rsidRDefault="0082224F" w:rsidP="0082224F">
      <w:pPr>
        <w:pStyle w:val="Bibliography"/>
        <w:spacing w:line="240" w:lineRule="auto"/>
        <w:jc w:val="both"/>
        <w:rPr>
          <w:rFonts w:ascii="Garamond" w:hAnsi="Garamond"/>
          <w:color w:val="4F81BD" w:themeColor="accent1"/>
        </w:rPr>
      </w:pPr>
      <w:r w:rsidRPr="00793C3F">
        <w:rPr>
          <w:rFonts w:ascii="Garamond" w:hAnsi="Garamond"/>
        </w:rPr>
        <w:t>Zhuang, D., Abbas, J., Al-</w:t>
      </w:r>
      <w:proofErr w:type="spellStart"/>
      <w:r w:rsidRPr="00793C3F">
        <w:rPr>
          <w:rFonts w:ascii="Garamond" w:hAnsi="Garamond"/>
        </w:rPr>
        <w:t>Sulaiti</w:t>
      </w:r>
      <w:proofErr w:type="spellEnd"/>
      <w:r w:rsidRPr="00793C3F">
        <w:rPr>
          <w:rFonts w:ascii="Garamond" w:hAnsi="Garamond"/>
        </w:rPr>
        <w:t xml:space="preserve">, K., Fahlevi, M., </w:t>
      </w:r>
      <w:proofErr w:type="spellStart"/>
      <w:r w:rsidRPr="00793C3F">
        <w:rPr>
          <w:rFonts w:ascii="Garamond" w:hAnsi="Garamond"/>
        </w:rPr>
        <w:t>Aljuaid</w:t>
      </w:r>
      <w:proofErr w:type="spellEnd"/>
      <w:r w:rsidRPr="00793C3F">
        <w:rPr>
          <w:rFonts w:ascii="Garamond" w:hAnsi="Garamond"/>
        </w:rPr>
        <w:t xml:space="preserve">, M., &amp; Saniuk, S. (2022). Land-use and food security in energy transition: Role of food supply. </w:t>
      </w:r>
      <w:r w:rsidRPr="00793C3F">
        <w:rPr>
          <w:rFonts w:ascii="Garamond" w:hAnsi="Garamond"/>
          <w:i/>
          <w:iCs/>
        </w:rPr>
        <w:t>Frontiers in Sustainable Food Systems</w:t>
      </w:r>
      <w:r w:rsidRPr="00793C3F">
        <w:rPr>
          <w:rFonts w:ascii="Garamond" w:hAnsi="Garamond"/>
        </w:rPr>
        <w:t xml:space="preserve">, </w:t>
      </w:r>
      <w:r w:rsidRPr="00793C3F">
        <w:rPr>
          <w:rFonts w:ascii="Garamond" w:hAnsi="Garamond"/>
          <w:i/>
          <w:iCs/>
        </w:rPr>
        <w:t>6</w:t>
      </w:r>
      <w:r w:rsidRPr="00793C3F">
        <w:rPr>
          <w:rFonts w:ascii="Garamond" w:hAnsi="Garamond"/>
        </w:rPr>
        <w:t xml:space="preserve">. Scopus. </w:t>
      </w:r>
      <w:r w:rsidRPr="0082224F">
        <w:rPr>
          <w:rFonts w:ascii="Garamond" w:hAnsi="Garamond"/>
          <w:color w:val="4F81BD" w:themeColor="accent1"/>
        </w:rPr>
        <w:t>https://doi.org/10.3389/fsufs.2022.1053031</w:t>
      </w:r>
    </w:p>
    <w:p w14:paraId="55E276DF" w14:textId="77777777" w:rsidR="0082224F" w:rsidRPr="00793C3F" w:rsidRDefault="0082224F" w:rsidP="0082224F">
      <w:pPr>
        <w:pStyle w:val="Bibliography"/>
        <w:spacing w:line="240" w:lineRule="auto"/>
        <w:jc w:val="both"/>
        <w:rPr>
          <w:rFonts w:ascii="Garamond" w:hAnsi="Garamond"/>
        </w:rPr>
      </w:pPr>
      <w:r w:rsidRPr="00793C3F">
        <w:rPr>
          <w:rFonts w:ascii="Garamond" w:hAnsi="Garamond"/>
          <w:lang w:val="fi-FI"/>
        </w:rPr>
        <w:t xml:space="preserve">Zuhroh, D., Jermias, J., Ratnasari, S. L., Nurjanah, E., &amp; Fahlevi, M. (2024). </w:t>
      </w:r>
      <w:r w:rsidRPr="00793C3F">
        <w:rPr>
          <w:rFonts w:ascii="Garamond" w:hAnsi="Garamond"/>
        </w:rPr>
        <w:t xml:space="preserve">The role of </w:t>
      </w:r>
      <w:proofErr w:type="spellStart"/>
      <w:r w:rsidRPr="00793C3F">
        <w:rPr>
          <w:rFonts w:ascii="Garamond" w:hAnsi="Garamond"/>
        </w:rPr>
        <w:t>GoJek</w:t>
      </w:r>
      <w:proofErr w:type="spellEnd"/>
      <w:r w:rsidRPr="00793C3F">
        <w:rPr>
          <w:rFonts w:ascii="Garamond" w:hAnsi="Garamond"/>
        </w:rPr>
        <w:t xml:space="preserve"> and Grab sharing economy platforms and management accounting systems usage on performance of MSMEs during covid-19 pandemic: Evidence from Indonesia. </w:t>
      </w:r>
      <w:r w:rsidRPr="00793C3F">
        <w:rPr>
          <w:rFonts w:ascii="Garamond" w:hAnsi="Garamond"/>
          <w:i/>
          <w:iCs/>
        </w:rPr>
        <w:t>Uncertain Supply Chain Management</w:t>
      </w:r>
      <w:r w:rsidRPr="00793C3F">
        <w:rPr>
          <w:rFonts w:ascii="Garamond" w:hAnsi="Garamond"/>
        </w:rPr>
        <w:t xml:space="preserve">, </w:t>
      </w:r>
      <w:r w:rsidRPr="00793C3F">
        <w:rPr>
          <w:rFonts w:ascii="Garamond" w:hAnsi="Garamond"/>
          <w:i/>
          <w:iCs/>
        </w:rPr>
        <w:t>12</w:t>
      </w:r>
      <w:r w:rsidRPr="00793C3F">
        <w:rPr>
          <w:rFonts w:ascii="Garamond" w:hAnsi="Garamond"/>
        </w:rPr>
        <w:t xml:space="preserve">(1), 249–262. </w:t>
      </w:r>
      <w:r w:rsidRPr="0082224F">
        <w:rPr>
          <w:rFonts w:ascii="Garamond" w:hAnsi="Garamond"/>
          <w:color w:val="4F81BD" w:themeColor="accent1"/>
        </w:rPr>
        <w:t>https://doi.org/10.5267/j.uscm.2023.10.001</w:t>
      </w:r>
    </w:p>
    <w:p w14:paraId="5B05DCDD" w14:textId="6BF73CEC" w:rsidR="00487C77" w:rsidRPr="00487C77" w:rsidRDefault="0082224F" w:rsidP="0082224F">
      <w:pPr>
        <w:pStyle w:val="Bibliography"/>
        <w:spacing w:line="240" w:lineRule="auto"/>
        <w:jc w:val="both"/>
        <w:rPr>
          <w:rFonts w:ascii="Garamond" w:hAnsi="Garamond"/>
        </w:rPr>
      </w:pPr>
      <w:r w:rsidRPr="0082224F">
        <w:rPr>
          <w:rFonts w:ascii="Garamond" w:hAnsi="Garamond"/>
          <w:lang w:val="fi-FI"/>
        </w:rPr>
        <w:t xml:space="preserve">Zuhroh, D., Jermias, J., Ratnasari, S. L., Sriyono, Nurjanah, E., &amp; Fahlevi, M. (2025). </w:t>
      </w:r>
      <w:r w:rsidRPr="00793C3F">
        <w:rPr>
          <w:rFonts w:ascii="Garamond" w:hAnsi="Garamond"/>
        </w:rPr>
        <w:t xml:space="preserve">The impact of sharing economy platforms, management accounting systems, and demographic factors on financial performance: Exploring the role of formal and informal education in MSMEs. </w:t>
      </w:r>
      <w:r w:rsidRPr="00793C3F">
        <w:rPr>
          <w:rFonts w:ascii="Garamond" w:hAnsi="Garamond"/>
          <w:i/>
          <w:iCs/>
        </w:rPr>
        <w:t>Journal of Open Innovation: Technology, Market, and Complexity</w:t>
      </w:r>
      <w:r w:rsidRPr="00793C3F">
        <w:rPr>
          <w:rFonts w:ascii="Garamond" w:hAnsi="Garamond"/>
        </w:rPr>
        <w:t xml:space="preserve">, </w:t>
      </w:r>
      <w:r w:rsidRPr="00793C3F">
        <w:rPr>
          <w:rFonts w:ascii="Garamond" w:hAnsi="Garamond"/>
          <w:i/>
          <w:iCs/>
        </w:rPr>
        <w:t>11</w:t>
      </w:r>
      <w:r w:rsidRPr="00793C3F">
        <w:rPr>
          <w:rFonts w:ascii="Garamond" w:hAnsi="Garamond"/>
        </w:rPr>
        <w:t xml:space="preserve">(1), 100447. </w:t>
      </w:r>
      <w:r w:rsidRPr="0082224F">
        <w:rPr>
          <w:rFonts w:ascii="Garamond" w:hAnsi="Garamond"/>
          <w:color w:val="4F81BD" w:themeColor="accent1"/>
        </w:rPr>
        <w:t>https://doi.org/10.1016/j.joitmc.2024.100447</w:t>
      </w:r>
      <w:r w:rsidR="00621CEF" w:rsidRPr="0082224F">
        <w:rPr>
          <w:rFonts w:ascii="Garamond" w:hAnsi="Garamond"/>
          <w:color w:val="4F81BD" w:themeColor="accent1"/>
          <w:lang w:val="en-US"/>
        </w:rPr>
        <w:t>.</w:t>
      </w:r>
    </w:p>
    <w:p w14:paraId="4647BA0C" w14:textId="3C107781" w:rsidR="00E246F2" w:rsidRPr="00E246F2" w:rsidRDefault="00E246F2" w:rsidP="00487C77">
      <w:pPr>
        <w:contextualSpacing/>
        <w:jc w:val="both"/>
        <w:rPr>
          <w:rFonts w:ascii="Garamond" w:hAnsi="Garamond"/>
        </w:rPr>
      </w:pPr>
      <w:r>
        <w:rPr>
          <w:rFonts w:ascii="Garamond" w:hAnsi="Garamond"/>
        </w:rPr>
        <w:fldChar w:fldCharType="end"/>
      </w:r>
    </w:p>
    <w:p w14:paraId="24B0A13B" w14:textId="77777777" w:rsidR="00B315F0" w:rsidRPr="000A725F" w:rsidRDefault="00B315F0" w:rsidP="0054120A">
      <w:pPr>
        <w:contextualSpacing/>
        <w:jc w:val="both"/>
        <w:rPr>
          <w:rFonts w:ascii="Garamond" w:hAnsi="Garamond"/>
          <w:b/>
          <w:bCs/>
        </w:rPr>
      </w:pPr>
    </w:p>
    <w:p w14:paraId="1D1B4646" w14:textId="77777777" w:rsidR="00F86CB6" w:rsidRPr="000A725F" w:rsidRDefault="00F86CB6" w:rsidP="00E246F2">
      <w:pPr>
        <w:ind w:right="107"/>
        <w:contextualSpacing/>
        <w:jc w:val="right"/>
        <w:rPr>
          <w:rFonts w:ascii="Garamond" w:hAnsi="Garamond"/>
          <w:lang w:val="id-ID"/>
        </w:rPr>
      </w:pPr>
    </w:p>
    <w:sectPr w:rsidR="00F86CB6" w:rsidRPr="000A725F" w:rsidSect="00A50049">
      <w:headerReference w:type="even" r:id="rId14"/>
      <w:headerReference w:type="default" r:id="rId15"/>
      <w:footerReference w:type="even" r:id="rId16"/>
      <w:footerReference w:type="default" r:id="rId17"/>
      <w:headerReference w:type="first" r:id="rId18"/>
      <w:footerReference w:type="first" r:id="rId19"/>
      <w:pgSz w:w="11900" w:h="16840" w:code="9"/>
      <w:pgMar w:top="1440" w:right="1077" w:bottom="1440" w:left="1077" w:header="709" w:footer="709"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E62C" w14:textId="77777777" w:rsidR="000E1C6B" w:rsidRDefault="000E1C6B" w:rsidP="00840130">
      <w:r>
        <w:separator/>
      </w:r>
    </w:p>
  </w:endnote>
  <w:endnote w:type="continuationSeparator" w:id="0">
    <w:p w14:paraId="62B7FB9A" w14:textId="77777777" w:rsidR="000E1C6B" w:rsidRDefault="000E1C6B"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6098"/>
      <w:docPartObj>
        <w:docPartGallery w:val="Page Numbers (Bottom of Page)"/>
        <w:docPartUnique/>
      </w:docPartObj>
    </w:sdtPr>
    <w:sdtContent>
      <w:p w14:paraId="1CCAEE04" w14:textId="6D24666E"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p w14:paraId="56E26E5F" w14:textId="77777777" w:rsidR="006D13FC" w:rsidRDefault="006D13FC"/>
  <w:p w14:paraId="7DF5B47A" w14:textId="77777777" w:rsidR="006D13FC" w:rsidRDefault="006D13FC"/>
  <w:p w14:paraId="600DFCB5" w14:textId="77777777" w:rsidR="006D13FC" w:rsidRDefault="006D13FC"/>
  <w:p w14:paraId="62E59CA5" w14:textId="77777777" w:rsidR="006D13FC" w:rsidRDefault="006D13FC"/>
  <w:p w14:paraId="6A23CF40" w14:textId="77777777" w:rsidR="006D13FC" w:rsidRDefault="006D13FC"/>
  <w:p w14:paraId="345C66BE" w14:textId="77777777" w:rsidR="006D13FC" w:rsidRDefault="006D13FC"/>
  <w:p w14:paraId="321098DA" w14:textId="77777777" w:rsidR="006D13FC" w:rsidRDefault="006D13FC"/>
  <w:p w14:paraId="1D9D394D" w14:textId="77777777" w:rsidR="006D13FC" w:rsidRDefault="006D13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95701"/>
      <w:docPartObj>
        <w:docPartGallery w:val="Page Numbers (Bottom of Page)"/>
        <w:docPartUnique/>
      </w:docPartObj>
    </w:sdtPr>
    <w:sdtContent>
      <w:p w14:paraId="3002AABC" w14:textId="7A46DFF3"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3175AE99" w14:textId="37FB2AE1" w:rsidR="006D13FC" w:rsidRPr="007915AB" w:rsidRDefault="00BD6193" w:rsidP="007915AB">
        <w:pPr>
          <w:pStyle w:val="Footer"/>
          <w:rPr>
            <w:lang w:val="id-ID"/>
          </w:rPr>
        </w:pPr>
        <w:r>
          <w:rPr>
            <w:lang w:val="id-ID"/>
          </w:rPr>
          <w:t xml:space="preserve">Volume </w:t>
        </w:r>
        <w:r w:rsidR="00B60DEE">
          <w:t>5</w:t>
        </w:r>
        <w:r>
          <w:t xml:space="preserve"> </w:t>
        </w:r>
        <w:r>
          <w:rPr>
            <w:lang w:val="id-ID"/>
          </w:rPr>
          <w:t xml:space="preserve">, </w:t>
        </w:r>
        <w:proofErr w:type="spellStart"/>
        <w:r>
          <w:rPr>
            <w:lang w:val="id-ID"/>
          </w:rPr>
          <w:t>Issue</w:t>
        </w:r>
        <w:proofErr w:type="spellEnd"/>
        <w:r>
          <w:rPr>
            <w:lang w:val="id-ID"/>
          </w:rPr>
          <w:t xml:space="preserve"> </w:t>
        </w:r>
        <w:r w:rsidR="008053EA">
          <w:t>3</w:t>
        </w:r>
        <w:r>
          <w:t xml:space="preserve"> </w:t>
        </w:r>
        <w:proofErr w:type="spellStart"/>
        <w:r>
          <w:rPr>
            <w:lang w:val="id-ID"/>
          </w:rPr>
          <w:t>available</w:t>
        </w:r>
        <w:proofErr w:type="spellEnd"/>
        <w:r>
          <w:rPr>
            <w:lang w:val="id-ID"/>
          </w:rPr>
          <w:t xml:space="preserve"> </w:t>
        </w:r>
        <w:proofErr w:type="spellStart"/>
        <w:r>
          <w:rPr>
            <w:lang w:val="id-ID"/>
          </w:rPr>
          <w:t>at</w:t>
        </w:r>
        <w:proofErr w:type="spellEnd"/>
        <w:r>
          <w:rPr>
            <w:lang w:val="id-ID"/>
          </w:rPr>
          <w:t xml:space="preserve"> </w:t>
        </w:r>
        <w:r w:rsidR="003635E1" w:rsidRPr="003635E1">
          <w:rPr>
            <w:lang w:val="id-ID"/>
          </w:rPr>
          <w:t>https://journal.privietlab.org/index.php/JEBL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BC" w14:textId="4736FAA6"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hyperlink r:id="rId3" w:history="1">
      <w:r w:rsidR="00C853C2" w:rsidRPr="00C853C2">
        <w:rPr>
          <w:rStyle w:val="Hyperlink"/>
          <w:color w:val="auto"/>
          <w:u w:val="none"/>
        </w:rPr>
        <w:t>Journal of Economics and Business Letters</w:t>
      </w:r>
    </w:hyperlink>
    <w:r w:rsidR="00C853C2" w:rsidRPr="00C853C2">
      <w:t> is licensed under a </w:t>
    </w:r>
    <w:hyperlink r:id="rId4" w:history="1">
      <w:r w:rsidR="00C853C2"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27DB" w14:textId="77777777" w:rsidR="000E1C6B" w:rsidRDefault="000E1C6B" w:rsidP="00840130">
      <w:r>
        <w:separator/>
      </w:r>
    </w:p>
  </w:footnote>
  <w:footnote w:type="continuationSeparator" w:id="0">
    <w:p w14:paraId="228F7D92" w14:textId="77777777" w:rsidR="000E1C6B" w:rsidRDefault="000E1C6B"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E730" w14:textId="307E9DFD" w:rsidR="00D0396C" w:rsidRDefault="00D0396C">
    <w:pPr>
      <w:pStyle w:val="Header"/>
    </w:pPr>
  </w:p>
  <w:p w14:paraId="58D0779A" w14:textId="77777777" w:rsidR="006D13FC" w:rsidRDefault="006D13FC"/>
  <w:p w14:paraId="33392223" w14:textId="77777777" w:rsidR="006D13FC" w:rsidRDefault="006D13FC"/>
  <w:p w14:paraId="6EE73E9F" w14:textId="77777777" w:rsidR="006D13FC" w:rsidRDefault="006D13FC"/>
  <w:p w14:paraId="36FA0F46" w14:textId="77777777" w:rsidR="006D13FC" w:rsidRDefault="006D13FC"/>
  <w:p w14:paraId="569AA29E" w14:textId="77777777" w:rsidR="006D13FC" w:rsidRDefault="006D13FC"/>
  <w:p w14:paraId="6296ADCD" w14:textId="77777777" w:rsidR="006D13FC" w:rsidRDefault="006D13FC"/>
  <w:p w14:paraId="4002C98D" w14:textId="77777777" w:rsidR="006D13FC" w:rsidRDefault="006D13FC"/>
  <w:p w14:paraId="4F800E01" w14:textId="77777777" w:rsidR="006D13FC" w:rsidRDefault="006D1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65A4" w14:textId="26B618FF" w:rsidR="006D13FC" w:rsidRDefault="003635E1" w:rsidP="00F115A9">
    <w:pPr>
      <w:pStyle w:val="Header"/>
    </w:pPr>
    <w:proofErr w:type="spellStart"/>
    <w:r w:rsidRPr="003635E1">
      <w:rPr>
        <w:rFonts w:ascii="Garamond" w:hAnsi="Garamond"/>
        <w:b/>
        <w:bCs/>
        <w:i/>
        <w:iCs/>
        <w:lang w:val="id-ID"/>
      </w:rPr>
      <w:t>Journal</w:t>
    </w:r>
    <w:proofErr w:type="spellEnd"/>
    <w:r w:rsidRPr="003635E1">
      <w:rPr>
        <w:rFonts w:ascii="Garamond" w:hAnsi="Garamond"/>
        <w:b/>
        <w:bCs/>
        <w:i/>
        <w:iCs/>
        <w:lang w:val="id-ID"/>
      </w:rPr>
      <w:t xml:space="preserve"> </w:t>
    </w:r>
    <w:proofErr w:type="spellStart"/>
    <w:r w:rsidRPr="003635E1">
      <w:rPr>
        <w:rFonts w:ascii="Garamond" w:hAnsi="Garamond"/>
        <w:b/>
        <w:bCs/>
        <w:i/>
        <w:iCs/>
        <w:lang w:val="id-ID"/>
      </w:rPr>
      <w:t>of</w:t>
    </w:r>
    <w:proofErr w:type="spellEnd"/>
    <w:r w:rsidRPr="003635E1">
      <w:rPr>
        <w:rFonts w:ascii="Garamond" w:hAnsi="Garamond"/>
        <w:b/>
        <w:bCs/>
        <w:i/>
        <w:iCs/>
        <w:lang w:val="id-ID"/>
      </w:rPr>
      <w:t xml:space="preserve"> </w:t>
    </w:r>
    <w:proofErr w:type="spellStart"/>
    <w:r w:rsidRPr="003635E1">
      <w:rPr>
        <w:rFonts w:ascii="Garamond" w:hAnsi="Garamond"/>
        <w:b/>
        <w:bCs/>
        <w:i/>
        <w:iCs/>
        <w:lang w:val="id-ID"/>
      </w:rPr>
      <w:t>Economics</w:t>
    </w:r>
    <w:proofErr w:type="spellEnd"/>
    <w:r w:rsidRPr="003635E1">
      <w:rPr>
        <w:rFonts w:ascii="Garamond" w:hAnsi="Garamond"/>
        <w:b/>
        <w:bCs/>
        <w:i/>
        <w:iCs/>
        <w:lang w:val="id-ID"/>
      </w:rPr>
      <w:t xml:space="preserve"> </w:t>
    </w:r>
    <w:proofErr w:type="spellStart"/>
    <w:r w:rsidRPr="003635E1">
      <w:rPr>
        <w:rFonts w:ascii="Garamond" w:hAnsi="Garamond"/>
        <w:b/>
        <w:bCs/>
        <w:i/>
        <w:iCs/>
        <w:lang w:val="id-ID"/>
      </w:rPr>
      <w:t>and</w:t>
    </w:r>
    <w:proofErr w:type="spellEnd"/>
    <w:r w:rsidRPr="003635E1">
      <w:rPr>
        <w:rFonts w:ascii="Garamond" w:hAnsi="Garamond"/>
        <w:b/>
        <w:bCs/>
        <w:i/>
        <w:iCs/>
        <w:lang w:val="id-ID"/>
      </w:rPr>
      <w:t xml:space="preserve"> Business </w:t>
    </w:r>
    <w:proofErr w:type="spellStart"/>
    <w:r w:rsidRPr="003635E1">
      <w:rPr>
        <w:rFonts w:ascii="Garamond" w:hAnsi="Garamond"/>
        <w:b/>
        <w:bCs/>
        <w:i/>
        <w:iCs/>
        <w:lang w:val="id-ID"/>
      </w:rPr>
      <w:t>Letters</w:t>
    </w:r>
    <w:proofErr w:type="spellEnd"/>
  </w:p>
  <w:p w14:paraId="33BD644D" w14:textId="77777777" w:rsidR="006D13FC" w:rsidRDefault="006D13FC"/>
  <w:p w14:paraId="5D04C584" w14:textId="77777777" w:rsidR="006D13FC" w:rsidRDefault="006D13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75D3" w14:textId="233A97D6" w:rsidR="00BD6193" w:rsidRPr="00F00158" w:rsidRDefault="003635E1" w:rsidP="00CF0408">
    <w:pPr>
      <w:pStyle w:val="Header"/>
      <w:rPr>
        <w:rFonts w:ascii="Garamond" w:hAnsi="Garamond"/>
        <w:lang w:val="id-ID"/>
      </w:rPr>
    </w:pPr>
    <w:proofErr w:type="spellStart"/>
    <w:r w:rsidRPr="003635E1">
      <w:rPr>
        <w:rFonts w:ascii="Garamond" w:hAnsi="Garamond"/>
        <w:b/>
        <w:bCs/>
        <w:i/>
        <w:iCs/>
        <w:lang w:val="id-ID"/>
      </w:rPr>
      <w:t>Journal</w:t>
    </w:r>
    <w:proofErr w:type="spellEnd"/>
    <w:r w:rsidRPr="003635E1">
      <w:rPr>
        <w:rFonts w:ascii="Garamond" w:hAnsi="Garamond"/>
        <w:b/>
        <w:bCs/>
        <w:i/>
        <w:iCs/>
        <w:lang w:val="id-ID"/>
      </w:rPr>
      <w:t xml:space="preserve"> </w:t>
    </w:r>
    <w:proofErr w:type="spellStart"/>
    <w:r w:rsidRPr="003635E1">
      <w:rPr>
        <w:rFonts w:ascii="Garamond" w:hAnsi="Garamond"/>
        <w:b/>
        <w:bCs/>
        <w:i/>
        <w:iCs/>
        <w:lang w:val="id-ID"/>
      </w:rPr>
      <w:t>of</w:t>
    </w:r>
    <w:proofErr w:type="spellEnd"/>
    <w:r w:rsidRPr="003635E1">
      <w:rPr>
        <w:rFonts w:ascii="Garamond" w:hAnsi="Garamond"/>
        <w:b/>
        <w:bCs/>
        <w:i/>
        <w:iCs/>
        <w:lang w:val="id-ID"/>
      </w:rPr>
      <w:t xml:space="preserve"> </w:t>
    </w:r>
    <w:proofErr w:type="spellStart"/>
    <w:r w:rsidRPr="003635E1">
      <w:rPr>
        <w:rFonts w:ascii="Garamond" w:hAnsi="Garamond"/>
        <w:b/>
        <w:bCs/>
        <w:i/>
        <w:iCs/>
        <w:lang w:val="id-ID"/>
      </w:rPr>
      <w:t>Economics</w:t>
    </w:r>
    <w:proofErr w:type="spellEnd"/>
    <w:r w:rsidRPr="003635E1">
      <w:rPr>
        <w:rFonts w:ascii="Garamond" w:hAnsi="Garamond"/>
        <w:b/>
        <w:bCs/>
        <w:i/>
        <w:iCs/>
        <w:lang w:val="id-ID"/>
      </w:rPr>
      <w:t xml:space="preserve"> </w:t>
    </w:r>
    <w:proofErr w:type="spellStart"/>
    <w:r w:rsidRPr="003635E1">
      <w:rPr>
        <w:rFonts w:ascii="Garamond" w:hAnsi="Garamond"/>
        <w:b/>
        <w:bCs/>
        <w:i/>
        <w:iCs/>
        <w:lang w:val="id-ID"/>
      </w:rPr>
      <w:t>and</w:t>
    </w:r>
    <w:proofErr w:type="spellEnd"/>
    <w:r w:rsidRPr="003635E1">
      <w:rPr>
        <w:rFonts w:ascii="Garamond" w:hAnsi="Garamond"/>
        <w:b/>
        <w:bCs/>
        <w:i/>
        <w:iCs/>
        <w:lang w:val="id-ID"/>
      </w:rPr>
      <w:t xml:space="preserve"> Business </w:t>
    </w:r>
    <w:proofErr w:type="spellStart"/>
    <w:r w:rsidRPr="003635E1">
      <w:rPr>
        <w:rFonts w:ascii="Garamond" w:hAnsi="Garamond"/>
        <w:b/>
        <w:bCs/>
        <w:i/>
        <w:iCs/>
        <w:lang w:val="id-ID"/>
      </w:rPr>
      <w:t>Letters</w:t>
    </w:r>
    <w:proofErr w:type="spellEnd"/>
    <w:r w:rsidR="00BD6193" w:rsidRPr="000A725F">
      <w:rPr>
        <w:rFonts w:ascii="Garamond" w:hAnsi="Garamond"/>
        <w:b/>
        <w:bCs/>
        <w:i/>
        <w:iCs/>
        <w:lang w:val="id-ID"/>
      </w:rPr>
      <w:t xml:space="preserve"> </w:t>
    </w:r>
    <w:r w:rsidR="00BD6193" w:rsidRPr="000A725F">
      <w:rPr>
        <w:rFonts w:ascii="Garamond" w:hAnsi="Garamond"/>
        <w:lang w:val="id-ID"/>
      </w:rPr>
      <w:tab/>
    </w:r>
    <w:r>
      <w:rPr>
        <w:rFonts w:ascii="Garamond" w:hAnsi="Garamond"/>
        <w:lang w:val="id-ID"/>
      </w:rPr>
      <w:tab/>
    </w:r>
    <w:r w:rsidR="00BD6193" w:rsidRPr="000A725F">
      <w:rPr>
        <w:rFonts w:ascii="Garamond" w:hAnsi="Garamond"/>
        <w:lang w:val="id-ID"/>
      </w:rPr>
      <w:t xml:space="preserve">Volume </w:t>
    </w:r>
    <w:r w:rsidR="00B60DEE">
      <w:rPr>
        <w:rFonts w:ascii="Garamond" w:hAnsi="Garamond"/>
      </w:rPr>
      <w:t>5</w:t>
    </w:r>
  </w:p>
  <w:p w14:paraId="41FBDC92" w14:textId="3F8CD7AA" w:rsidR="00BD6193" w:rsidRPr="000A725F" w:rsidRDefault="00BD6193" w:rsidP="00CF0408">
    <w:pPr>
      <w:pStyle w:val="Header"/>
      <w:rPr>
        <w:rFonts w:ascii="Garamond" w:hAnsi="Garamond"/>
      </w:rPr>
    </w:pPr>
    <w:r w:rsidRPr="000A725F">
      <w:rPr>
        <w:rFonts w:ascii="Garamond" w:hAnsi="Garamond"/>
        <w:lang w:val="id-ID"/>
      </w:rPr>
      <w:t xml:space="preserve">E-ISSN 2686-6056 </w:t>
    </w:r>
    <w:r w:rsidRPr="000A725F">
      <w:rPr>
        <w:rFonts w:ascii="Garamond" w:hAnsi="Garamond"/>
        <w:lang w:val="id-ID"/>
      </w:rPr>
      <w:tab/>
    </w:r>
    <w:r w:rsidRPr="000A725F">
      <w:rPr>
        <w:rFonts w:ascii="Garamond" w:hAnsi="Garamond"/>
        <w:lang w:val="id-ID"/>
      </w:rPr>
      <w:tab/>
    </w:r>
    <w:proofErr w:type="spellStart"/>
    <w:r w:rsidRPr="000A725F">
      <w:rPr>
        <w:rFonts w:ascii="Garamond" w:hAnsi="Garamond"/>
        <w:lang w:val="id-ID"/>
      </w:rPr>
      <w:t>Issue</w:t>
    </w:r>
    <w:proofErr w:type="spellEnd"/>
    <w:r w:rsidRPr="000A725F">
      <w:rPr>
        <w:rFonts w:ascii="Garamond" w:hAnsi="Garamond"/>
        <w:lang w:val="id-ID"/>
      </w:rPr>
      <w:t xml:space="preserve"> </w:t>
    </w:r>
    <w:r w:rsidR="008053EA">
      <w:rPr>
        <w:rFonts w:ascii="Garamond" w:hAnsi="Garamond"/>
      </w:rPr>
      <w:t>3</w:t>
    </w:r>
  </w:p>
  <w:p w14:paraId="76499A5D" w14:textId="6C9BC1EB" w:rsidR="00BD6193" w:rsidRPr="000A725F" w:rsidRDefault="003635E1" w:rsidP="00CF0408">
    <w:pPr>
      <w:pStyle w:val="Header"/>
      <w:rPr>
        <w:rFonts w:ascii="Garamond" w:hAnsi="Garamond"/>
      </w:rPr>
    </w:pPr>
    <w:r>
      <w:rPr>
        <w:rFonts w:ascii="Garamond" w:hAnsi="Garamond"/>
        <w:lang w:val="id-ID"/>
      </w:rPr>
      <w:t xml:space="preserve">P-ISSN </w:t>
    </w:r>
    <w:r w:rsidRPr="003635E1">
      <w:rPr>
        <w:rFonts w:ascii="Garamond" w:hAnsi="Garamond"/>
        <w:lang w:val="id-ID"/>
      </w:rPr>
      <w:t>2798-8651</w:t>
    </w:r>
    <w:r w:rsidR="00BD6193" w:rsidRPr="000A725F">
      <w:rPr>
        <w:rFonts w:ascii="Garamond" w:hAnsi="Garamond"/>
        <w:lang w:val="id-ID"/>
      </w:rPr>
      <w:tab/>
    </w:r>
    <w:r w:rsidR="00BD6193" w:rsidRPr="000A725F">
      <w:rPr>
        <w:rFonts w:ascii="Garamond" w:hAnsi="Garamond"/>
        <w:lang w:val="id-ID"/>
      </w:rPr>
      <w:tab/>
    </w:r>
    <w:r w:rsidR="008053EA">
      <w:rPr>
        <w:rFonts w:ascii="Garamond" w:hAnsi="Garamond"/>
      </w:rPr>
      <w:t>June</w:t>
    </w:r>
    <w:r w:rsidR="00BD6193" w:rsidRPr="000A725F">
      <w:rPr>
        <w:rFonts w:ascii="Garamond" w:hAnsi="Garamond"/>
      </w:rPr>
      <w:t xml:space="preserve"> </w:t>
    </w:r>
    <w:proofErr w:type="spellStart"/>
    <w:r w:rsidR="00BD6193" w:rsidRPr="000A725F">
      <w:rPr>
        <w:rFonts w:ascii="Garamond" w:hAnsi="Garamond"/>
        <w:lang w:val="id-ID"/>
      </w:rPr>
      <w:t>Edition</w:t>
    </w:r>
    <w:proofErr w:type="spellEnd"/>
    <w:r w:rsidR="00BD6193" w:rsidRPr="000A725F">
      <w:rPr>
        <w:rFonts w:ascii="Garamond" w:hAnsi="Garamond"/>
        <w:lang w:val="id-ID"/>
      </w:rPr>
      <w:t xml:space="preserve"> 202</w:t>
    </w:r>
    <w:r w:rsidR="00B60DEE">
      <w:rPr>
        <w:rFonts w:ascii="Garamond" w:hAnsi="Garamond"/>
      </w:rPr>
      <w:t>5</w:t>
    </w:r>
  </w:p>
  <w:p w14:paraId="12E623E0" w14:textId="360DD527" w:rsidR="00BD6193" w:rsidRPr="000A725F" w:rsidRDefault="00F00158" w:rsidP="00CF0408">
    <w:pPr>
      <w:pStyle w:val="Header"/>
      <w:rPr>
        <w:rFonts w:ascii="Garamond" w:hAnsi="Garamond"/>
      </w:rPr>
    </w:pPr>
    <w:r>
      <w:rPr>
        <w:rFonts w:ascii="Garamond" w:hAnsi="Garamond"/>
      </w:rPr>
      <w:t>DOI:</w:t>
    </w:r>
    <w:r w:rsidR="005A73B5" w:rsidRPr="005A73B5">
      <w:rPr>
        <w:rFonts w:ascii="Garamond" w:hAnsi="Garamond"/>
      </w:rPr>
      <w:t>10.55942/</w:t>
    </w:r>
    <w:proofErr w:type="gramStart"/>
    <w:r w:rsidR="005A73B5" w:rsidRPr="005A73B5">
      <w:rPr>
        <w:rFonts w:ascii="Garamond" w:hAnsi="Garamond"/>
      </w:rPr>
      <w:t>jebl.v</w:t>
    </w:r>
    <w:proofErr w:type="gramEnd"/>
    <w:r w:rsidR="005A73B5" w:rsidRPr="005A73B5">
      <w:rPr>
        <w:rFonts w:ascii="Garamond" w:hAnsi="Garamond"/>
      </w:rPr>
      <w:t>5i3.481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3EA"/>
    <w:multiLevelType w:val="hybridMultilevel"/>
    <w:tmpl w:val="48F8D436"/>
    <w:lvl w:ilvl="0" w:tplc="3FBA24EE">
      <w:start w:val="1"/>
      <w:numFmt w:val="decimal"/>
      <w:lvlText w:val="%1."/>
      <w:lvlJc w:val="left"/>
      <w:pPr>
        <w:ind w:left="720" w:hanging="360"/>
      </w:pPr>
      <w:rPr>
        <w:rFonts w:hint="default"/>
      </w:rPr>
    </w:lvl>
    <w:lvl w:ilvl="1" w:tplc="1DF0F32A" w:tentative="1">
      <w:start w:val="1"/>
      <w:numFmt w:val="lowerLetter"/>
      <w:lvlText w:val="%2."/>
      <w:lvlJc w:val="left"/>
      <w:pPr>
        <w:ind w:left="1440" w:hanging="360"/>
      </w:pPr>
    </w:lvl>
    <w:lvl w:ilvl="2" w:tplc="31A0435E" w:tentative="1">
      <w:start w:val="1"/>
      <w:numFmt w:val="lowerRoman"/>
      <w:lvlText w:val="%3."/>
      <w:lvlJc w:val="right"/>
      <w:pPr>
        <w:ind w:left="2160" w:hanging="180"/>
      </w:pPr>
    </w:lvl>
    <w:lvl w:ilvl="3" w:tplc="DAD0107A" w:tentative="1">
      <w:start w:val="1"/>
      <w:numFmt w:val="decimal"/>
      <w:lvlText w:val="%4."/>
      <w:lvlJc w:val="left"/>
      <w:pPr>
        <w:ind w:left="2880" w:hanging="360"/>
      </w:pPr>
    </w:lvl>
    <w:lvl w:ilvl="4" w:tplc="6D36539A" w:tentative="1">
      <w:start w:val="1"/>
      <w:numFmt w:val="lowerLetter"/>
      <w:lvlText w:val="%5."/>
      <w:lvlJc w:val="left"/>
      <w:pPr>
        <w:ind w:left="3600" w:hanging="360"/>
      </w:pPr>
    </w:lvl>
    <w:lvl w:ilvl="5" w:tplc="98A09A26" w:tentative="1">
      <w:start w:val="1"/>
      <w:numFmt w:val="lowerRoman"/>
      <w:lvlText w:val="%6."/>
      <w:lvlJc w:val="right"/>
      <w:pPr>
        <w:ind w:left="4320" w:hanging="180"/>
      </w:pPr>
    </w:lvl>
    <w:lvl w:ilvl="6" w:tplc="1AEC4C0C" w:tentative="1">
      <w:start w:val="1"/>
      <w:numFmt w:val="decimal"/>
      <w:lvlText w:val="%7."/>
      <w:lvlJc w:val="left"/>
      <w:pPr>
        <w:ind w:left="5040" w:hanging="360"/>
      </w:pPr>
    </w:lvl>
    <w:lvl w:ilvl="7" w:tplc="B58081A0" w:tentative="1">
      <w:start w:val="1"/>
      <w:numFmt w:val="lowerLetter"/>
      <w:lvlText w:val="%8."/>
      <w:lvlJc w:val="left"/>
      <w:pPr>
        <w:ind w:left="5760" w:hanging="360"/>
      </w:pPr>
    </w:lvl>
    <w:lvl w:ilvl="8" w:tplc="73726DC4" w:tentative="1">
      <w:start w:val="1"/>
      <w:numFmt w:val="lowerRoman"/>
      <w:lvlText w:val="%9."/>
      <w:lvlJc w:val="right"/>
      <w:pPr>
        <w:ind w:left="6480" w:hanging="180"/>
      </w:pPr>
    </w:lvl>
  </w:abstractNum>
  <w:abstractNum w:abstractNumId="1" w15:restartNumberingAfterBreak="0">
    <w:nsid w:val="02952ED4"/>
    <w:multiLevelType w:val="multilevel"/>
    <w:tmpl w:val="671C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F1FAA"/>
    <w:multiLevelType w:val="multilevel"/>
    <w:tmpl w:val="D80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4739"/>
    <w:multiLevelType w:val="hybridMultilevel"/>
    <w:tmpl w:val="944CC39C"/>
    <w:lvl w:ilvl="0" w:tplc="827C702A">
      <w:start w:val="1"/>
      <w:numFmt w:val="decimal"/>
      <w:lvlText w:val="%1."/>
      <w:lvlJc w:val="left"/>
      <w:pPr>
        <w:ind w:left="947" w:hanging="360"/>
      </w:pPr>
      <w:rPr>
        <w:rFonts w:hint="default"/>
        <w:sz w:val="24"/>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15:restartNumberingAfterBreak="0">
    <w:nsid w:val="070D22ED"/>
    <w:multiLevelType w:val="hybridMultilevel"/>
    <w:tmpl w:val="55AAAD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3B7D2D"/>
    <w:multiLevelType w:val="hybridMultilevel"/>
    <w:tmpl w:val="1D580F14"/>
    <w:lvl w:ilvl="0" w:tplc="1FC2A66E">
      <w:start w:val="2"/>
      <w:numFmt w:val="bullet"/>
      <w:lvlText w:val="-"/>
      <w:lvlJc w:val="left"/>
      <w:pPr>
        <w:ind w:left="1800" w:hanging="360"/>
      </w:pPr>
      <w:rPr>
        <w:rFonts w:ascii="Times New Roman" w:eastAsia="Times New Roman" w:hAnsi="Times New Roman" w:cs="Times New Roman" w:hint="default"/>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CA1560"/>
    <w:multiLevelType w:val="multilevel"/>
    <w:tmpl w:val="5AF6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644F5"/>
    <w:multiLevelType w:val="hybridMultilevel"/>
    <w:tmpl w:val="4116538A"/>
    <w:lvl w:ilvl="0" w:tplc="48CC2874">
      <w:start w:val="1"/>
      <w:numFmt w:val="decimal"/>
      <w:lvlText w:val="%1."/>
      <w:lvlJc w:val="left"/>
      <w:pPr>
        <w:ind w:left="947" w:hanging="360"/>
      </w:pPr>
      <w:rPr>
        <w:rFonts w:ascii="Times New Roman" w:hAnsi="Times New Roman" w:hint="default"/>
        <w:sz w:val="24"/>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 w15:restartNumberingAfterBreak="0">
    <w:nsid w:val="0C2E75D3"/>
    <w:multiLevelType w:val="hybridMultilevel"/>
    <w:tmpl w:val="631CA7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F974508"/>
    <w:multiLevelType w:val="multilevel"/>
    <w:tmpl w:val="1102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F1EDA"/>
    <w:multiLevelType w:val="multilevel"/>
    <w:tmpl w:val="95A6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022FE"/>
    <w:multiLevelType w:val="multilevel"/>
    <w:tmpl w:val="276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477D35"/>
    <w:multiLevelType w:val="multilevel"/>
    <w:tmpl w:val="81E21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870AAC"/>
    <w:multiLevelType w:val="hybridMultilevel"/>
    <w:tmpl w:val="0486C1D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0139C1"/>
    <w:multiLevelType w:val="hybridMultilevel"/>
    <w:tmpl w:val="2ECEF71E"/>
    <w:lvl w:ilvl="0" w:tplc="300CCB78">
      <w:start w:val="1"/>
      <w:numFmt w:val="lowerLetter"/>
      <w:lvlText w:val="%1."/>
      <w:lvlJc w:val="left"/>
      <w:pPr>
        <w:ind w:left="425" w:hanging="360"/>
      </w:pPr>
      <w:rPr>
        <w:rFonts w:hint="default"/>
        <w:sz w:val="24"/>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5" w15:restartNumberingAfterBreak="0">
    <w:nsid w:val="17432CC7"/>
    <w:multiLevelType w:val="multilevel"/>
    <w:tmpl w:val="3476E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5D0706"/>
    <w:multiLevelType w:val="hybridMultilevel"/>
    <w:tmpl w:val="ADA4F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95321C"/>
    <w:multiLevelType w:val="hybridMultilevel"/>
    <w:tmpl w:val="680E4CB8"/>
    <w:lvl w:ilvl="0" w:tplc="23025014">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8" w15:restartNumberingAfterBreak="0">
    <w:nsid w:val="19F45E94"/>
    <w:multiLevelType w:val="hybridMultilevel"/>
    <w:tmpl w:val="C9ECD59C"/>
    <w:lvl w:ilvl="0" w:tplc="63CAA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153D59"/>
    <w:multiLevelType w:val="hybridMultilevel"/>
    <w:tmpl w:val="BA94652A"/>
    <w:lvl w:ilvl="0" w:tplc="78CCC6EE">
      <w:start w:val="1"/>
      <w:numFmt w:val="decimal"/>
      <w:lvlText w:val="%1."/>
      <w:lvlJc w:val="left"/>
      <w:pPr>
        <w:ind w:left="1080" w:hanging="360"/>
      </w:pPr>
      <w:rPr>
        <w:rFonts w:hint="default"/>
      </w:rPr>
    </w:lvl>
    <w:lvl w:ilvl="1" w:tplc="1C8817B2" w:tentative="1">
      <w:start w:val="1"/>
      <w:numFmt w:val="lowerLetter"/>
      <w:lvlText w:val="%2."/>
      <w:lvlJc w:val="left"/>
      <w:pPr>
        <w:ind w:left="1800" w:hanging="360"/>
      </w:pPr>
    </w:lvl>
    <w:lvl w:ilvl="2" w:tplc="8D381692" w:tentative="1">
      <w:start w:val="1"/>
      <w:numFmt w:val="lowerRoman"/>
      <w:lvlText w:val="%3."/>
      <w:lvlJc w:val="right"/>
      <w:pPr>
        <w:ind w:left="2520" w:hanging="180"/>
      </w:pPr>
    </w:lvl>
    <w:lvl w:ilvl="3" w:tplc="26D2A986" w:tentative="1">
      <w:start w:val="1"/>
      <w:numFmt w:val="decimal"/>
      <w:lvlText w:val="%4."/>
      <w:lvlJc w:val="left"/>
      <w:pPr>
        <w:ind w:left="3240" w:hanging="360"/>
      </w:pPr>
    </w:lvl>
    <w:lvl w:ilvl="4" w:tplc="F65CE988" w:tentative="1">
      <w:start w:val="1"/>
      <w:numFmt w:val="lowerLetter"/>
      <w:lvlText w:val="%5."/>
      <w:lvlJc w:val="left"/>
      <w:pPr>
        <w:ind w:left="3960" w:hanging="360"/>
      </w:pPr>
    </w:lvl>
    <w:lvl w:ilvl="5" w:tplc="C83E9E38" w:tentative="1">
      <w:start w:val="1"/>
      <w:numFmt w:val="lowerRoman"/>
      <w:lvlText w:val="%6."/>
      <w:lvlJc w:val="right"/>
      <w:pPr>
        <w:ind w:left="4680" w:hanging="180"/>
      </w:pPr>
    </w:lvl>
    <w:lvl w:ilvl="6" w:tplc="655E2FF6" w:tentative="1">
      <w:start w:val="1"/>
      <w:numFmt w:val="decimal"/>
      <w:lvlText w:val="%7."/>
      <w:lvlJc w:val="left"/>
      <w:pPr>
        <w:ind w:left="5400" w:hanging="360"/>
      </w:pPr>
    </w:lvl>
    <w:lvl w:ilvl="7" w:tplc="5B5E93CE" w:tentative="1">
      <w:start w:val="1"/>
      <w:numFmt w:val="lowerLetter"/>
      <w:lvlText w:val="%8."/>
      <w:lvlJc w:val="left"/>
      <w:pPr>
        <w:ind w:left="6120" w:hanging="360"/>
      </w:pPr>
    </w:lvl>
    <w:lvl w:ilvl="8" w:tplc="C8C0E942" w:tentative="1">
      <w:start w:val="1"/>
      <w:numFmt w:val="lowerRoman"/>
      <w:lvlText w:val="%9."/>
      <w:lvlJc w:val="right"/>
      <w:pPr>
        <w:ind w:left="6840" w:hanging="180"/>
      </w:pPr>
    </w:lvl>
  </w:abstractNum>
  <w:abstractNum w:abstractNumId="20" w15:restartNumberingAfterBreak="0">
    <w:nsid w:val="1F3D1F07"/>
    <w:multiLevelType w:val="multilevel"/>
    <w:tmpl w:val="2CFC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454ECD"/>
    <w:multiLevelType w:val="hybridMultilevel"/>
    <w:tmpl w:val="A32689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3041901"/>
    <w:multiLevelType w:val="multilevel"/>
    <w:tmpl w:val="FDA2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6E6D2C"/>
    <w:multiLevelType w:val="hybridMultilevel"/>
    <w:tmpl w:val="0A58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395614"/>
    <w:multiLevelType w:val="hybridMultilevel"/>
    <w:tmpl w:val="62606254"/>
    <w:lvl w:ilvl="0" w:tplc="D45A298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2455105A"/>
    <w:multiLevelType w:val="hybridMultilevel"/>
    <w:tmpl w:val="3D2C1084"/>
    <w:lvl w:ilvl="0" w:tplc="90AA63D4">
      <w:start w:val="1"/>
      <w:numFmt w:val="decimal"/>
      <w:lvlText w:val="%1."/>
      <w:lvlJc w:val="left"/>
      <w:pPr>
        <w:ind w:left="720" w:hanging="360"/>
      </w:pPr>
      <w:rPr>
        <w:rFonts w:hint="default"/>
      </w:rPr>
    </w:lvl>
    <w:lvl w:ilvl="1" w:tplc="31F29AB4" w:tentative="1">
      <w:start w:val="1"/>
      <w:numFmt w:val="lowerLetter"/>
      <w:lvlText w:val="%2."/>
      <w:lvlJc w:val="left"/>
      <w:pPr>
        <w:ind w:left="1440" w:hanging="360"/>
      </w:pPr>
    </w:lvl>
    <w:lvl w:ilvl="2" w:tplc="58FE8B46" w:tentative="1">
      <w:start w:val="1"/>
      <w:numFmt w:val="lowerRoman"/>
      <w:lvlText w:val="%3."/>
      <w:lvlJc w:val="right"/>
      <w:pPr>
        <w:ind w:left="2160" w:hanging="180"/>
      </w:pPr>
    </w:lvl>
    <w:lvl w:ilvl="3" w:tplc="A874FF3A" w:tentative="1">
      <w:start w:val="1"/>
      <w:numFmt w:val="decimal"/>
      <w:lvlText w:val="%4."/>
      <w:lvlJc w:val="left"/>
      <w:pPr>
        <w:ind w:left="2880" w:hanging="360"/>
      </w:pPr>
    </w:lvl>
    <w:lvl w:ilvl="4" w:tplc="E4866612" w:tentative="1">
      <w:start w:val="1"/>
      <w:numFmt w:val="lowerLetter"/>
      <w:lvlText w:val="%5."/>
      <w:lvlJc w:val="left"/>
      <w:pPr>
        <w:ind w:left="3600" w:hanging="360"/>
      </w:pPr>
    </w:lvl>
    <w:lvl w:ilvl="5" w:tplc="1CEA9CE8" w:tentative="1">
      <w:start w:val="1"/>
      <w:numFmt w:val="lowerRoman"/>
      <w:lvlText w:val="%6."/>
      <w:lvlJc w:val="right"/>
      <w:pPr>
        <w:ind w:left="4320" w:hanging="180"/>
      </w:pPr>
    </w:lvl>
    <w:lvl w:ilvl="6" w:tplc="F4BEBE88" w:tentative="1">
      <w:start w:val="1"/>
      <w:numFmt w:val="decimal"/>
      <w:lvlText w:val="%7."/>
      <w:lvlJc w:val="left"/>
      <w:pPr>
        <w:ind w:left="5040" w:hanging="360"/>
      </w:pPr>
    </w:lvl>
    <w:lvl w:ilvl="7" w:tplc="FA9AAE92" w:tentative="1">
      <w:start w:val="1"/>
      <w:numFmt w:val="lowerLetter"/>
      <w:lvlText w:val="%8."/>
      <w:lvlJc w:val="left"/>
      <w:pPr>
        <w:ind w:left="5760" w:hanging="360"/>
      </w:pPr>
    </w:lvl>
    <w:lvl w:ilvl="8" w:tplc="8ED88806" w:tentative="1">
      <w:start w:val="1"/>
      <w:numFmt w:val="lowerRoman"/>
      <w:lvlText w:val="%9."/>
      <w:lvlJc w:val="right"/>
      <w:pPr>
        <w:ind w:left="6480" w:hanging="180"/>
      </w:pPr>
    </w:lvl>
  </w:abstractNum>
  <w:abstractNum w:abstractNumId="26" w15:restartNumberingAfterBreak="0">
    <w:nsid w:val="24A2265C"/>
    <w:multiLevelType w:val="hybridMultilevel"/>
    <w:tmpl w:val="C292C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2C7506"/>
    <w:multiLevelType w:val="multilevel"/>
    <w:tmpl w:val="5BC2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A629AC"/>
    <w:multiLevelType w:val="hybridMultilevel"/>
    <w:tmpl w:val="D97AC5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2AB813E5"/>
    <w:multiLevelType w:val="multilevel"/>
    <w:tmpl w:val="CB42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E230FA"/>
    <w:multiLevelType w:val="multilevel"/>
    <w:tmpl w:val="35E4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D05D55"/>
    <w:multiLevelType w:val="multilevel"/>
    <w:tmpl w:val="9E62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112813"/>
    <w:multiLevelType w:val="hybridMultilevel"/>
    <w:tmpl w:val="FD9E55A8"/>
    <w:lvl w:ilvl="0" w:tplc="6DF23D38">
      <w:start w:val="1"/>
      <w:numFmt w:val="lowerLetter"/>
      <w:lvlText w:val="%1."/>
      <w:lvlJc w:val="left"/>
      <w:pPr>
        <w:ind w:left="1440" w:hanging="360"/>
      </w:pPr>
      <w:rPr>
        <w:rFonts w:ascii="Times New Roman" w:eastAsia="Calibri" w:hAnsi="Times New Roman" w:cs="Times New Roman"/>
        <w:b w:val="0"/>
      </w:rPr>
    </w:lvl>
    <w:lvl w:ilvl="1" w:tplc="DCB0FC42">
      <w:start w:val="1"/>
      <w:numFmt w:val="lowerLetter"/>
      <w:lvlText w:val="%2."/>
      <w:lvlJc w:val="left"/>
      <w:pPr>
        <w:ind w:left="2160" w:hanging="360"/>
      </w:pPr>
    </w:lvl>
    <w:lvl w:ilvl="2" w:tplc="26641DA2">
      <w:start w:val="1"/>
      <w:numFmt w:val="lowerRoman"/>
      <w:lvlText w:val="%3."/>
      <w:lvlJc w:val="right"/>
      <w:pPr>
        <w:ind w:left="2880" w:hanging="180"/>
      </w:pPr>
    </w:lvl>
    <w:lvl w:ilvl="3" w:tplc="292CF074">
      <w:start w:val="1"/>
      <w:numFmt w:val="decimal"/>
      <w:lvlText w:val="%4."/>
      <w:lvlJc w:val="left"/>
      <w:pPr>
        <w:ind w:left="3600" w:hanging="360"/>
      </w:pPr>
    </w:lvl>
    <w:lvl w:ilvl="4" w:tplc="53E4E9FA">
      <w:start w:val="1"/>
      <w:numFmt w:val="lowerLetter"/>
      <w:lvlText w:val="%5."/>
      <w:lvlJc w:val="left"/>
      <w:pPr>
        <w:ind w:left="4320" w:hanging="360"/>
      </w:pPr>
    </w:lvl>
    <w:lvl w:ilvl="5" w:tplc="BAB42280">
      <w:start w:val="1"/>
      <w:numFmt w:val="lowerRoman"/>
      <w:lvlText w:val="%6."/>
      <w:lvlJc w:val="right"/>
      <w:pPr>
        <w:ind w:left="5040" w:hanging="180"/>
      </w:pPr>
    </w:lvl>
    <w:lvl w:ilvl="6" w:tplc="D24422DA">
      <w:start w:val="1"/>
      <w:numFmt w:val="decimal"/>
      <w:lvlText w:val="%7."/>
      <w:lvlJc w:val="left"/>
      <w:pPr>
        <w:ind w:left="5760" w:hanging="360"/>
      </w:pPr>
    </w:lvl>
    <w:lvl w:ilvl="7" w:tplc="558AFA62">
      <w:start w:val="1"/>
      <w:numFmt w:val="lowerLetter"/>
      <w:lvlText w:val="%8."/>
      <w:lvlJc w:val="left"/>
      <w:pPr>
        <w:ind w:left="6480" w:hanging="360"/>
      </w:pPr>
    </w:lvl>
    <w:lvl w:ilvl="8" w:tplc="11C4CD18">
      <w:start w:val="1"/>
      <w:numFmt w:val="lowerRoman"/>
      <w:lvlText w:val="%9."/>
      <w:lvlJc w:val="right"/>
      <w:pPr>
        <w:ind w:left="7200" w:hanging="180"/>
      </w:pPr>
    </w:lvl>
  </w:abstractNum>
  <w:abstractNum w:abstractNumId="33" w15:restartNumberingAfterBreak="0">
    <w:nsid w:val="2E3D18AB"/>
    <w:multiLevelType w:val="multilevel"/>
    <w:tmpl w:val="167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8F6808"/>
    <w:multiLevelType w:val="multilevel"/>
    <w:tmpl w:val="AB2E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603E1B"/>
    <w:multiLevelType w:val="hybridMultilevel"/>
    <w:tmpl w:val="0F78F5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ED64DE"/>
    <w:multiLevelType w:val="multilevel"/>
    <w:tmpl w:val="C450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9B3F5B"/>
    <w:multiLevelType w:val="hybridMultilevel"/>
    <w:tmpl w:val="E662F4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B13054F"/>
    <w:multiLevelType w:val="multilevel"/>
    <w:tmpl w:val="BC9E6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833E92"/>
    <w:multiLevelType w:val="hybridMultilevel"/>
    <w:tmpl w:val="32BCD0D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BD6310E"/>
    <w:multiLevelType w:val="multilevel"/>
    <w:tmpl w:val="3B6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51287F"/>
    <w:multiLevelType w:val="multilevel"/>
    <w:tmpl w:val="997A82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3D8303DC"/>
    <w:multiLevelType w:val="hybridMultilevel"/>
    <w:tmpl w:val="05863812"/>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3" w15:restartNumberingAfterBreak="0">
    <w:nsid w:val="3E865534"/>
    <w:multiLevelType w:val="hybridMultilevel"/>
    <w:tmpl w:val="CB5ADC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15:restartNumberingAfterBreak="0">
    <w:nsid w:val="3FC472C3"/>
    <w:multiLevelType w:val="hybridMultilevel"/>
    <w:tmpl w:val="A996758A"/>
    <w:lvl w:ilvl="0" w:tplc="CE7260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5" w15:restartNumberingAfterBreak="0">
    <w:nsid w:val="410B7ADD"/>
    <w:multiLevelType w:val="hybridMultilevel"/>
    <w:tmpl w:val="16F2C3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1272DC9"/>
    <w:multiLevelType w:val="multilevel"/>
    <w:tmpl w:val="853A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E53849"/>
    <w:multiLevelType w:val="multilevel"/>
    <w:tmpl w:val="04B4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2429EA"/>
    <w:multiLevelType w:val="hybridMultilevel"/>
    <w:tmpl w:val="7B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730130"/>
    <w:multiLevelType w:val="hybridMultilevel"/>
    <w:tmpl w:val="FDFC77CC"/>
    <w:lvl w:ilvl="0" w:tplc="5352D3B8">
      <w:start w:val="1"/>
      <w:numFmt w:val="decimal"/>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49E937FC"/>
    <w:multiLevelType w:val="hybridMultilevel"/>
    <w:tmpl w:val="44E0D7EA"/>
    <w:lvl w:ilvl="0" w:tplc="8A58B252">
      <w:start w:val="1"/>
      <w:numFmt w:val="decimal"/>
      <w:lvlText w:val="%1."/>
      <w:lvlJc w:val="left"/>
      <w:pPr>
        <w:ind w:left="720" w:hanging="360"/>
      </w:pPr>
      <w:rPr>
        <w:rFonts w:hint="default"/>
      </w:rPr>
    </w:lvl>
    <w:lvl w:ilvl="1" w:tplc="939671EC" w:tentative="1">
      <w:start w:val="1"/>
      <w:numFmt w:val="lowerLetter"/>
      <w:lvlText w:val="%2."/>
      <w:lvlJc w:val="left"/>
      <w:pPr>
        <w:ind w:left="1440" w:hanging="360"/>
      </w:pPr>
    </w:lvl>
    <w:lvl w:ilvl="2" w:tplc="E14A5CD6" w:tentative="1">
      <w:start w:val="1"/>
      <w:numFmt w:val="lowerRoman"/>
      <w:lvlText w:val="%3."/>
      <w:lvlJc w:val="right"/>
      <w:pPr>
        <w:ind w:left="2160" w:hanging="180"/>
      </w:pPr>
    </w:lvl>
    <w:lvl w:ilvl="3" w:tplc="16A06E5A" w:tentative="1">
      <w:start w:val="1"/>
      <w:numFmt w:val="decimal"/>
      <w:lvlText w:val="%4."/>
      <w:lvlJc w:val="left"/>
      <w:pPr>
        <w:ind w:left="2880" w:hanging="360"/>
      </w:pPr>
    </w:lvl>
    <w:lvl w:ilvl="4" w:tplc="03BEFD8A" w:tentative="1">
      <w:start w:val="1"/>
      <w:numFmt w:val="lowerLetter"/>
      <w:lvlText w:val="%5."/>
      <w:lvlJc w:val="left"/>
      <w:pPr>
        <w:ind w:left="3600" w:hanging="360"/>
      </w:pPr>
    </w:lvl>
    <w:lvl w:ilvl="5" w:tplc="3154D342" w:tentative="1">
      <w:start w:val="1"/>
      <w:numFmt w:val="lowerRoman"/>
      <w:lvlText w:val="%6."/>
      <w:lvlJc w:val="right"/>
      <w:pPr>
        <w:ind w:left="4320" w:hanging="180"/>
      </w:pPr>
    </w:lvl>
    <w:lvl w:ilvl="6" w:tplc="0A4447F0" w:tentative="1">
      <w:start w:val="1"/>
      <w:numFmt w:val="decimal"/>
      <w:lvlText w:val="%7."/>
      <w:lvlJc w:val="left"/>
      <w:pPr>
        <w:ind w:left="5040" w:hanging="360"/>
      </w:pPr>
    </w:lvl>
    <w:lvl w:ilvl="7" w:tplc="40AA4D30" w:tentative="1">
      <w:start w:val="1"/>
      <w:numFmt w:val="lowerLetter"/>
      <w:lvlText w:val="%8."/>
      <w:lvlJc w:val="left"/>
      <w:pPr>
        <w:ind w:left="5760" w:hanging="360"/>
      </w:pPr>
    </w:lvl>
    <w:lvl w:ilvl="8" w:tplc="8842BA06" w:tentative="1">
      <w:start w:val="1"/>
      <w:numFmt w:val="lowerRoman"/>
      <w:lvlText w:val="%9."/>
      <w:lvlJc w:val="right"/>
      <w:pPr>
        <w:ind w:left="6480" w:hanging="180"/>
      </w:pPr>
    </w:lvl>
  </w:abstractNum>
  <w:abstractNum w:abstractNumId="51" w15:restartNumberingAfterBreak="0">
    <w:nsid w:val="4BC74C14"/>
    <w:multiLevelType w:val="hybridMultilevel"/>
    <w:tmpl w:val="FE383A28"/>
    <w:lvl w:ilvl="0" w:tplc="7E96C718">
      <w:start w:val="1"/>
      <w:numFmt w:val="lowerLetter"/>
      <w:lvlText w:val="%1."/>
      <w:lvlJc w:val="left"/>
      <w:pPr>
        <w:ind w:left="1494" w:hanging="360"/>
      </w:pPr>
      <w:rPr>
        <w:rFonts w:ascii="Times New Roman" w:eastAsia="Calibri" w:hAnsi="Times New Roman" w:cs="Times New Roman"/>
        <w:b w:val="0"/>
      </w:rPr>
    </w:lvl>
    <w:lvl w:ilvl="1" w:tplc="8E0ABC52">
      <w:start w:val="1"/>
      <w:numFmt w:val="lowerLetter"/>
      <w:lvlText w:val="%2."/>
      <w:lvlJc w:val="left"/>
      <w:pPr>
        <w:ind w:left="2214" w:hanging="360"/>
      </w:pPr>
    </w:lvl>
    <w:lvl w:ilvl="2" w:tplc="391EA0A2">
      <w:start w:val="1"/>
      <w:numFmt w:val="lowerRoman"/>
      <w:lvlText w:val="%3."/>
      <w:lvlJc w:val="right"/>
      <w:pPr>
        <w:ind w:left="2934" w:hanging="180"/>
      </w:pPr>
    </w:lvl>
    <w:lvl w:ilvl="3" w:tplc="FC54B536">
      <w:start w:val="1"/>
      <w:numFmt w:val="decimal"/>
      <w:lvlText w:val="%4."/>
      <w:lvlJc w:val="left"/>
      <w:pPr>
        <w:ind w:left="3654" w:hanging="360"/>
      </w:pPr>
    </w:lvl>
    <w:lvl w:ilvl="4" w:tplc="74AC7C7A">
      <w:start w:val="1"/>
      <w:numFmt w:val="lowerLetter"/>
      <w:lvlText w:val="%5."/>
      <w:lvlJc w:val="left"/>
      <w:pPr>
        <w:ind w:left="4374" w:hanging="360"/>
      </w:pPr>
    </w:lvl>
    <w:lvl w:ilvl="5" w:tplc="C850365A">
      <w:start w:val="1"/>
      <w:numFmt w:val="lowerRoman"/>
      <w:lvlText w:val="%6."/>
      <w:lvlJc w:val="right"/>
      <w:pPr>
        <w:ind w:left="5094" w:hanging="180"/>
      </w:pPr>
    </w:lvl>
    <w:lvl w:ilvl="6" w:tplc="755CC192">
      <w:start w:val="1"/>
      <w:numFmt w:val="decimal"/>
      <w:lvlText w:val="%7."/>
      <w:lvlJc w:val="left"/>
      <w:pPr>
        <w:ind w:left="5814" w:hanging="360"/>
      </w:pPr>
    </w:lvl>
    <w:lvl w:ilvl="7" w:tplc="A68E1A7A">
      <w:start w:val="1"/>
      <w:numFmt w:val="lowerLetter"/>
      <w:lvlText w:val="%8."/>
      <w:lvlJc w:val="left"/>
      <w:pPr>
        <w:ind w:left="6534" w:hanging="360"/>
      </w:pPr>
    </w:lvl>
    <w:lvl w:ilvl="8" w:tplc="0E44AEF2">
      <w:start w:val="1"/>
      <w:numFmt w:val="lowerRoman"/>
      <w:lvlText w:val="%9."/>
      <w:lvlJc w:val="right"/>
      <w:pPr>
        <w:ind w:left="7254" w:hanging="180"/>
      </w:pPr>
    </w:lvl>
  </w:abstractNum>
  <w:abstractNum w:abstractNumId="52" w15:restartNumberingAfterBreak="0">
    <w:nsid w:val="4C4A012F"/>
    <w:multiLevelType w:val="multilevel"/>
    <w:tmpl w:val="0C3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703764"/>
    <w:multiLevelType w:val="multilevel"/>
    <w:tmpl w:val="6A06B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0C699A"/>
    <w:multiLevelType w:val="multilevel"/>
    <w:tmpl w:val="F01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1F395F"/>
    <w:multiLevelType w:val="hybridMultilevel"/>
    <w:tmpl w:val="6B3687EE"/>
    <w:lvl w:ilvl="0" w:tplc="0421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CE2686"/>
    <w:multiLevelType w:val="hybridMultilevel"/>
    <w:tmpl w:val="577E0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042DEB"/>
    <w:multiLevelType w:val="hybridMultilevel"/>
    <w:tmpl w:val="D5C810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53984829"/>
    <w:multiLevelType w:val="hybridMultilevel"/>
    <w:tmpl w:val="10304EC6"/>
    <w:lvl w:ilvl="0" w:tplc="30967578">
      <w:start w:val="1"/>
      <w:numFmt w:val="lowerLetter"/>
      <w:lvlText w:val="%1."/>
      <w:lvlJc w:val="left"/>
      <w:pPr>
        <w:ind w:left="1800" w:hanging="360"/>
      </w:pPr>
      <w:rPr>
        <w:rFonts w:ascii="Times New Roman" w:eastAsiaTheme="minorHAnsi" w:hAnsi="Times New Roman" w:cs="Times New Roman"/>
      </w:rPr>
    </w:lvl>
    <w:lvl w:ilvl="1" w:tplc="0428B760">
      <w:start w:val="1"/>
      <w:numFmt w:val="lowerLetter"/>
      <w:lvlText w:val="%2."/>
      <w:lvlJc w:val="left"/>
      <w:pPr>
        <w:ind w:left="2520" w:hanging="360"/>
      </w:pPr>
    </w:lvl>
    <w:lvl w:ilvl="2" w:tplc="66AC64AE">
      <w:start w:val="1"/>
      <w:numFmt w:val="lowerRoman"/>
      <w:lvlText w:val="%3."/>
      <w:lvlJc w:val="right"/>
      <w:pPr>
        <w:ind w:left="3240" w:hanging="180"/>
      </w:pPr>
    </w:lvl>
    <w:lvl w:ilvl="3" w:tplc="C4DCC560">
      <w:start w:val="1"/>
      <w:numFmt w:val="decimal"/>
      <w:lvlText w:val="%4."/>
      <w:lvlJc w:val="left"/>
      <w:pPr>
        <w:ind w:left="3960" w:hanging="360"/>
      </w:pPr>
    </w:lvl>
    <w:lvl w:ilvl="4" w:tplc="B156DFF6">
      <w:start w:val="1"/>
      <w:numFmt w:val="lowerLetter"/>
      <w:lvlText w:val="%5."/>
      <w:lvlJc w:val="left"/>
      <w:pPr>
        <w:ind w:left="4680" w:hanging="360"/>
      </w:pPr>
    </w:lvl>
    <w:lvl w:ilvl="5" w:tplc="826A9500">
      <w:start w:val="1"/>
      <w:numFmt w:val="lowerRoman"/>
      <w:lvlText w:val="%6."/>
      <w:lvlJc w:val="right"/>
      <w:pPr>
        <w:ind w:left="5400" w:hanging="180"/>
      </w:pPr>
    </w:lvl>
    <w:lvl w:ilvl="6" w:tplc="9D72C948">
      <w:start w:val="1"/>
      <w:numFmt w:val="decimal"/>
      <w:lvlText w:val="%7."/>
      <w:lvlJc w:val="left"/>
      <w:pPr>
        <w:ind w:left="6120" w:hanging="360"/>
      </w:pPr>
    </w:lvl>
    <w:lvl w:ilvl="7" w:tplc="8B7446A8">
      <w:start w:val="1"/>
      <w:numFmt w:val="lowerLetter"/>
      <w:lvlText w:val="%8."/>
      <w:lvlJc w:val="left"/>
      <w:pPr>
        <w:ind w:left="6840" w:hanging="360"/>
      </w:pPr>
    </w:lvl>
    <w:lvl w:ilvl="8" w:tplc="F776FADE">
      <w:start w:val="1"/>
      <w:numFmt w:val="lowerRoman"/>
      <w:lvlText w:val="%9."/>
      <w:lvlJc w:val="right"/>
      <w:pPr>
        <w:ind w:left="7560" w:hanging="180"/>
      </w:pPr>
    </w:lvl>
  </w:abstractNum>
  <w:abstractNum w:abstractNumId="60" w15:restartNumberingAfterBreak="0">
    <w:nsid w:val="54B03A8E"/>
    <w:multiLevelType w:val="multilevel"/>
    <w:tmpl w:val="25F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07F3CD"/>
    <w:multiLevelType w:val="singleLevel"/>
    <w:tmpl w:val="5507F3CD"/>
    <w:lvl w:ilvl="0">
      <w:start w:val="1"/>
      <w:numFmt w:val="decimal"/>
      <w:lvlText w:val="%1."/>
      <w:lvlJc w:val="left"/>
    </w:lvl>
  </w:abstractNum>
  <w:abstractNum w:abstractNumId="62" w15:restartNumberingAfterBreak="0">
    <w:nsid w:val="554D3C84"/>
    <w:multiLevelType w:val="multilevel"/>
    <w:tmpl w:val="A47C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BB20ED"/>
    <w:multiLevelType w:val="hybridMultilevel"/>
    <w:tmpl w:val="BA70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DF37A3"/>
    <w:multiLevelType w:val="hybridMultilevel"/>
    <w:tmpl w:val="C6728E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C6271DC"/>
    <w:multiLevelType w:val="multilevel"/>
    <w:tmpl w:val="CB20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D57D83"/>
    <w:multiLevelType w:val="hybridMultilevel"/>
    <w:tmpl w:val="778469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5E9413DD"/>
    <w:multiLevelType w:val="multilevel"/>
    <w:tmpl w:val="87A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4B079A"/>
    <w:multiLevelType w:val="multilevel"/>
    <w:tmpl w:val="BCCC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A1754D"/>
    <w:multiLevelType w:val="hybridMultilevel"/>
    <w:tmpl w:val="5F1657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04F78D8"/>
    <w:multiLevelType w:val="hybridMultilevel"/>
    <w:tmpl w:val="7AAA6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0C81EC6"/>
    <w:multiLevelType w:val="multilevel"/>
    <w:tmpl w:val="86D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5F4E20"/>
    <w:multiLevelType w:val="hybridMultilevel"/>
    <w:tmpl w:val="DE88A2C0"/>
    <w:lvl w:ilvl="0" w:tplc="D45A2980">
      <w:start w:val="1"/>
      <w:numFmt w:val="low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5C09AC"/>
    <w:multiLevelType w:val="multilevel"/>
    <w:tmpl w:val="94701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6530B7"/>
    <w:multiLevelType w:val="hybridMultilevel"/>
    <w:tmpl w:val="E2428CDC"/>
    <w:lvl w:ilvl="0" w:tplc="5352D3B8">
      <w:start w:val="1"/>
      <w:numFmt w:val="decimal"/>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6ABB53F7"/>
    <w:multiLevelType w:val="hybridMultilevel"/>
    <w:tmpl w:val="94644196"/>
    <w:lvl w:ilvl="0" w:tplc="5352D3B8">
      <w:start w:val="1"/>
      <w:numFmt w:val="decimal"/>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6C8908F4"/>
    <w:multiLevelType w:val="hybridMultilevel"/>
    <w:tmpl w:val="6A302104"/>
    <w:lvl w:ilvl="0" w:tplc="701673FE">
      <w:start w:val="1"/>
      <w:numFmt w:val="decimal"/>
      <w:lvlText w:val="%1."/>
      <w:lvlJc w:val="left"/>
      <w:pPr>
        <w:ind w:left="720" w:hanging="360"/>
      </w:pPr>
      <w:rPr>
        <w:rFonts w:hint="default"/>
        <w:b w:val="0"/>
      </w:rPr>
    </w:lvl>
    <w:lvl w:ilvl="1" w:tplc="6AA0FE86" w:tentative="1">
      <w:start w:val="1"/>
      <w:numFmt w:val="lowerLetter"/>
      <w:lvlText w:val="%2."/>
      <w:lvlJc w:val="left"/>
      <w:pPr>
        <w:ind w:left="1440" w:hanging="360"/>
      </w:pPr>
    </w:lvl>
    <w:lvl w:ilvl="2" w:tplc="F3D84062" w:tentative="1">
      <w:start w:val="1"/>
      <w:numFmt w:val="lowerRoman"/>
      <w:lvlText w:val="%3."/>
      <w:lvlJc w:val="right"/>
      <w:pPr>
        <w:ind w:left="2160" w:hanging="180"/>
      </w:pPr>
    </w:lvl>
    <w:lvl w:ilvl="3" w:tplc="408ED20E" w:tentative="1">
      <w:start w:val="1"/>
      <w:numFmt w:val="decimal"/>
      <w:lvlText w:val="%4."/>
      <w:lvlJc w:val="left"/>
      <w:pPr>
        <w:ind w:left="2880" w:hanging="360"/>
      </w:pPr>
    </w:lvl>
    <w:lvl w:ilvl="4" w:tplc="DEE6A05A" w:tentative="1">
      <w:start w:val="1"/>
      <w:numFmt w:val="lowerLetter"/>
      <w:lvlText w:val="%5."/>
      <w:lvlJc w:val="left"/>
      <w:pPr>
        <w:ind w:left="3600" w:hanging="360"/>
      </w:pPr>
    </w:lvl>
    <w:lvl w:ilvl="5" w:tplc="4C1A10C4" w:tentative="1">
      <w:start w:val="1"/>
      <w:numFmt w:val="lowerRoman"/>
      <w:lvlText w:val="%6."/>
      <w:lvlJc w:val="right"/>
      <w:pPr>
        <w:ind w:left="4320" w:hanging="180"/>
      </w:pPr>
    </w:lvl>
    <w:lvl w:ilvl="6" w:tplc="918887BC" w:tentative="1">
      <w:start w:val="1"/>
      <w:numFmt w:val="decimal"/>
      <w:lvlText w:val="%7."/>
      <w:lvlJc w:val="left"/>
      <w:pPr>
        <w:ind w:left="5040" w:hanging="360"/>
      </w:pPr>
    </w:lvl>
    <w:lvl w:ilvl="7" w:tplc="DFC66960" w:tentative="1">
      <w:start w:val="1"/>
      <w:numFmt w:val="lowerLetter"/>
      <w:lvlText w:val="%8."/>
      <w:lvlJc w:val="left"/>
      <w:pPr>
        <w:ind w:left="5760" w:hanging="360"/>
      </w:pPr>
    </w:lvl>
    <w:lvl w:ilvl="8" w:tplc="0F9EA660" w:tentative="1">
      <w:start w:val="1"/>
      <w:numFmt w:val="lowerRoman"/>
      <w:lvlText w:val="%9."/>
      <w:lvlJc w:val="right"/>
      <w:pPr>
        <w:ind w:left="6480" w:hanging="180"/>
      </w:pPr>
    </w:lvl>
  </w:abstractNum>
  <w:abstractNum w:abstractNumId="77" w15:restartNumberingAfterBreak="0">
    <w:nsid w:val="6DDC501C"/>
    <w:multiLevelType w:val="multilevel"/>
    <w:tmpl w:val="3278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EF2D09"/>
    <w:multiLevelType w:val="hybridMultilevel"/>
    <w:tmpl w:val="17DCC64C"/>
    <w:lvl w:ilvl="0" w:tplc="CF743614">
      <w:start w:val="1"/>
      <w:numFmt w:val="decimal"/>
      <w:lvlText w:val="%1."/>
      <w:lvlJc w:val="left"/>
      <w:pPr>
        <w:ind w:left="720" w:hanging="360"/>
      </w:pPr>
      <w:rPr>
        <w:rFonts w:hint="default"/>
        <w:b/>
        <w:bCs/>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6E493FD2"/>
    <w:multiLevelType w:val="hybridMultilevel"/>
    <w:tmpl w:val="C06A365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0" w15:restartNumberingAfterBreak="0">
    <w:nsid w:val="6EDF2B0E"/>
    <w:multiLevelType w:val="multilevel"/>
    <w:tmpl w:val="0B28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747E1B"/>
    <w:multiLevelType w:val="multilevel"/>
    <w:tmpl w:val="2F4E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885408"/>
    <w:multiLevelType w:val="multilevel"/>
    <w:tmpl w:val="0C4E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FC1990"/>
    <w:multiLevelType w:val="hybridMultilevel"/>
    <w:tmpl w:val="96523D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7304249B"/>
    <w:multiLevelType w:val="hybridMultilevel"/>
    <w:tmpl w:val="6C0C7892"/>
    <w:lvl w:ilvl="0" w:tplc="67884A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5" w15:restartNumberingAfterBreak="0">
    <w:nsid w:val="734B5D51"/>
    <w:multiLevelType w:val="hybridMultilevel"/>
    <w:tmpl w:val="8578F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B44B23"/>
    <w:multiLevelType w:val="multilevel"/>
    <w:tmpl w:val="9C8A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F36364"/>
    <w:multiLevelType w:val="hybridMultilevel"/>
    <w:tmpl w:val="88742F48"/>
    <w:lvl w:ilvl="0" w:tplc="57CC837E">
      <w:start w:val="1"/>
      <w:numFmt w:val="bullet"/>
      <w:lvlText w:val=""/>
      <w:lvlJc w:val="left"/>
      <w:pPr>
        <w:ind w:left="2160" w:hanging="360"/>
      </w:pPr>
      <w:rPr>
        <w:rFonts w:ascii="Symbol" w:hAnsi="Symbol" w:hint="default"/>
      </w:rPr>
    </w:lvl>
    <w:lvl w:ilvl="1" w:tplc="17B875C6">
      <w:start w:val="1"/>
      <w:numFmt w:val="bullet"/>
      <w:lvlText w:val="o"/>
      <w:lvlJc w:val="left"/>
      <w:pPr>
        <w:ind w:left="2880" w:hanging="360"/>
      </w:pPr>
      <w:rPr>
        <w:rFonts w:ascii="Courier New" w:hAnsi="Courier New" w:cs="Courier New" w:hint="default"/>
      </w:rPr>
    </w:lvl>
    <w:lvl w:ilvl="2" w:tplc="960A6E74">
      <w:start w:val="1"/>
      <w:numFmt w:val="bullet"/>
      <w:lvlText w:val=""/>
      <w:lvlJc w:val="left"/>
      <w:pPr>
        <w:ind w:left="3600" w:hanging="360"/>
      </w:pPr>
      <w:rPr>
        <w:rFonts w:ascii="Wingdings" w:hAnsi="Wingdings" w:hint="default"/>
      </w:rPr>
    </w:lvl>
    <w:lvl w:ilvl="3" w:tplc="C932F900" w:tentative="1">
      <w:start w:val="1"/>
      <w:numFmt w:val="bullet"/>
      <w:lvlText w:val=""/>
      <w:lvlJc w:val="left"/>
      <w:pPr>
        <w:ind w:left="4320" w:hanging="360"/>
      </w:pPr>
      <w:rPr>
        <w:rFonts w:ascii="Symbol" w:hAnsi="Symbol" w:hint="default"/>
      </w:rPr>
    </w:lvl>
    <w:lvl w:ilvl="4" w:tplc="FD0ECFA6" w:tentative="1">
      <w:start w:val="1"/>
      <w:numFmt w:val="bullet"/>
      <w:lvlText w:val="o"/>
      <w:lvlJc w:val="left"/>
      <w:pPr>
        <w:ind w:left="5040" w:hanging="360"/>
      </w:pPr>
      <w:rPr>
        <w:rFonts w:ascii="Courier New" w:hAnsi="Courier New" w:cs="Courier New" w:hint="default"/>
      </w:rPr>
    </w:lvl>
    <w:lvl w:ilvl="5" w:tplc="BDA05614" w:tentative="1">
      <w:start w:val="1"/>
      <w:numFmt w:val="bullet"/>
      <w:lvlText w:val=""/>
      <w:lvlJc w:val="left"/>
      <w:pPr>
        <w:ind w:left="5760" w:hanging="360"/>
      </w:pPr>
      <w:rPr>
        <w:rFonts w:ascii="Wingdings" w:hAnsi="Wingdings" w:hint="default"/>
      </w:rPr>
    </w:lvl>
    <w:lvl w:ilvl="6" w:tplc="B83ED016" w:tentative="1">
      <w:start w:val="1"/>
      <w:numFmt w:val="bullet"/>
      <w:lvlText w:val=""/>
      <w:lvlJc w:val="left"/>
      <w:pPr>
        <w:ind w:left="6480" w:hanging="360"/>
      </w:pPr>
      <w:rPr>
        <w:rFonts w:ascii="Symbol" w:hAnsi="Symbol" w:hint="default"/>
      </w:rPr>
    </w:lvl>
    <w:lvl w:ilvl="7" w:tplc="75E2BF4A" w:tentative="1">
      <w:start w:val="1"/>
      <w:numFmt w:val="bullet"/>
      <w:lvlText w:val="o"/>
      <w:lvlJc w:val="left"/>
      <w:pPr>
        <w:ind w:left="7200" w:hanging="360"/>
      </w:pPr>
      <w:rPr>
        <w:rFonts w:ascii="Courier New" w:hAnsi="Courier New" w:cs="Courier New" w:hint="default"/>
      </w:rPr>
    </w:lvl>
    <w:lvl w:ilvl="8" w:tplc="FED6DCA4" w:tentative="1">
      <w:start w:val="1"/>
      <w:numFmt w:val="bullet"/>
      <w:lvlText w:val=""/>
      <w:lvlJc w:val="left"/>
      <w:pPr>
        <w:ind w:left="7920" w:hanging="360"/>
      </w:pPr>
      <w:rPr>
        <w:rFonts w:ascii="Wingdings" w:hAnsi="Wingdings" w:hint="default"/>
      </w:rPr>
    </w:lvl>
  </w:abstractNum>
  <w:abstractNum w:abstractNumId="88" w15:restartNumberingAfterBreak="0">
    <w:nsid w:val="7A6964C2"/>
    <w:multiLevelType w:val="hybridMultilevel"/>
    <w:tmpl w:val="4926B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E6D7472"/>
    <w:multiLevelType w:val="multilevel"/>
    <w:tmpl w:val="39B64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770239">
    <w:abstractNumId w:val="50"/>
  </w:num>
  <w:num w:numId="2" w16cid:durableId="1116100283">
    <w:abstractNumId w:val="25"/>
  </w:num>
  <w:num w:numId="3" w16cid:durableId="1332761192">
    <w:abstractNumId w:val="76"/>
  </w:num>
  <w:num w:numId="4" w16cid:durableId="1365671296">
    <w:abstractNumId w:val="0"/>
  </w:num>
  <w:num w:numId="5" w16cid:durableId="1818954889">
    <w:abstractNumId w:val="19"/>
  </w:num>
  <w:num w:numId="6" w16cid:durableId="422336258">
    <w:abstractNumId w:val="87"/>
  </w:num>
  <w:num w:numId="7" w16cid:durableId="1148934368">
    <w:abstractNumId w:val="61"/>
  </w:num>
  <w:num w:numId="8" w16cid:durableId="1305967778">
    <w:abstractNumId w:val="83"/>
  </w:num>
  <w:num w:numId="9" w16cid:durableId="504825900">
    <w:abstractNumId w:val="55"/>
  </w:num>
  <w:num w:numId="10" w16cid:durableId="1147287366">
    <w:abstractNumId w:val="39"/>
  </w:num>
  <w:num w:numId="11" w16cid:durableId="1764571461">
    <w:abstractNumId w:val="74"/>
  </w:num>
  <w:num w:numId="12" w16cid:durableId="2087994082">
    <w:abstractNumId w:val="43"/>
  </w:num>
  <w:num w:numId="13" w16cid:durableId="2012952115">
    <w:abstractNumId w:val="28"/>
  </w:num>
  <w:num w:numId="14" w16cid:durableId="2042436919">
    <w:abstractNumId w:val="21"/>
  </w:num>
  <w:num w:numId="15" w16cid:durableId="14961906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6793035">
    <w:abstractNumId w:val="58"/>
  </w:num>
  <w:num w:numId="17" w16cid:durableId="2525872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4859314">
    <w:abstractNumId w:val="79"/>
  </w:num>
  <w:num w:numId="19" w16cid:durableId="11760719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675497">
    <w:abstractNumId w:val="23"/>
  </w:num>
  <w:num w:numId="21" w16cid:durableId="843473672">
    <w:abstractNumId w:val="85"/>
  </w:num>
  <w:num w:numId="22" w16cid:durableId="1979069481">
    <w:abstractNumId w:val="26"/>
  </w:num>
  <w:num w:numId="23" w16cid:durableId="1321424948">
    <w:abstractNumId w:val="13"/>
  </w:num>
  <w:num w:numId="24" w16cid:durableId="1563251048">
    <w:abstractNumId w:val="5"/>
  </w:num>
  <w:num w:numId="25" w16cid:durableId="1644044758">
    <w:abstractNumId w:val="7"/>
  </w:num>
  <w:num w:numId="26" w16cid:durableId="1131090848">
    <w:abstractNumId w:val="18"/>
  </w:num>
  <w:num w:numId="27" w16cid:durableId="1190293081">
    <w:abstractNumId w:val="17"/>
  </w:num>
  <w:num w:numId="28" w16cid:durableId="1454715708">
    <w:abstractNumId w:val="3"/>
  </w:num>
  <w:num w:numId="29" w16cid:durableId="275721012">
    <w:abstractNumId w:val="14"/>
  </w:num>
  <w:num w:numId="30" w16cid:durableId="180701778">
    <w:abstractNumId w:val="63"/>
  </w:num>
  <w:num w:numId="31" w16cid:durableId="1097095256">
    <w:abstractNumId w:val="78"/>
  </w:num>
  <w:num w:numId="32" w16cid:durableId="36861069">
    <w:abstractNumId w:val="24"/>
  </w:num>
  <w:num w:numId="33" w16cid:durableId="1028719416">
    <w:abstractNumId w:val="72"/>
  </w:num>
  <w:num w:numId="34" w16cid:durableId="730999165">
    <w:abstractNumId w:val="49"/>
  </w:num>
  <w:num w:numId="35" w16cid:durableId="1125663989">
    <w:abstractNumId w:val="84"/>
  </w:num>
  <w:num w:numId="36" w16cid:durableId="264193735">
    <w:abstractNumId w:val="75"/>
  </w:num>
  <w:num w:numId="37" w16cid:durableId="695084971">
    <w:abstractNumId w:val="66"/>
  </w:num>
  <w:num w:numId="38" w16cid:durableId="405423200">
    <w:abstractNumId w:val="42"/>
  </w:num>
  <w:num w:numId="39" w16cid:durableId="2035958895">
    <w:abstractNumId w:val="35"/>
  </w:num>
  <w:num w:numId="40" w16cid:durableId="1687706131">
    <w:abstractNumId w:val="44"/>
  </w:num>
  <w:num w:numId="41" w16cid:durableId="429591395">
    <w:abstractNumId w:val="48"/>
  </w:num>
  <w:num w:numId="42" w16cid:durableId="1667855351">
    <w:abstractNumId w:val="88"/>
  </w:num>
  <w:num w:numId="43" w16cid:durableId="1964579397">
    <w:abstractNumId w:val="70"/>
  </w:num>
  <w:num w:numId="44" w16cid:durableId="1922176661">
    <w:abstractNumId w:val="56"/>
  </w:num>
  <w:num w:numId="45" w16cid:durableId="1016343115">
    <w:abstractNumId w:val="16"/>
  </w:num>
  <w:num w:numId="46" w16cid:durableId="1830779875">
    <w:abstractNumId w:val="8"/>
  </w:num>
  <w:num w:numId="47" w16cid:durableId="1612277217">
    <w:abstractNumId w:val="34"/>
  </w:num>
  <w:num w:numId="48" w16cid:durableId="1618637131">
    <w:abstractNumId w:val="27"/>
  </w:num>
  <w:num w:numId="49" w16cid:durableId="1624725325">
    <w:abstractNumId w:val="29"/>
  </w:num>
  <w:num w:numId="50" w16cid:durableId="1765884242">
    <w:abstractNumId w:val="69"/>
  </w:num>
  <w:num w:numId="51" w16cid:durableId="359162855">
    <w:abstractNumId w:val="62"/>
  </w:num>
  <w:num w:numId="52" w16cid:durableId="961151939">
    <w:abstractNumId w:val="11"/>
  </w:num>
  <w:num w:numId="53" w16cid:durableId="595988869">
    <w:abstractNumId w:val="60"/>
  </w:num>
  <w:num w:numId="54" w16cid:durableId="1464932493">
    <w:abstractNumId w:val="67"/>
  </w:num>
  <w:num w:numId="55" w16cid:durableId="1017733195">
    <w:abstractNumId w:val="46"/>
  </w:num>
  <w:num w:numId="56" w16cid:durableId="1603682116">
    <w:abstractNumId w:val="71"/>
  </w:num>
  <w:num w:numId="57" w16cid:durableId="685519786">
    <w:abstractNumId w:val="73"/>
  </w:num>
  <w:num w:numId="58" w16cid:durableId="891694015">
    <w:abstractNumId w:val="68"/>
  </w:num>
  <w:num w:numId="59" w16cid:durableId="2029715484">
    <w:abstractNumId w:val="86"/>
  </w:num>
  <w:num w:numId="60" w16cid:durableId="348335537">
    <w:abstractNumId w:val="54"/>
  </w:num>
  <w:num w:numId="61" w16cid:durableId="1511527751">
    <w:abstractNumId w:val="15"/>
  </w:num>
  <w:num w:numId="62" w16cid:durableId="1816986443">
    <w:abstractNumId w:val="40"/>
  </w:num>
  <w:num w:numId="63" w16cid:durableId="2078280668">
    <w:abstractNumId w:val="89"/>
  </w:num>
  <w:num w:numId="64" w16cid:durableId="893197448">
    <w:abstractNumId w:val="1"/>
  </w:num>
  <w:num w:numId="65" w16cid:durableId="1369837773">
    <w:abstractNumId w:val="38"/>
  </w:num>
  <w:num w:numId="66" w16cid:durableId="1725835972">
    <w:abstractNumId w:val="12"/>
  </w:num>
  <w:num w:numId="67" w16cid:durableId="13505240">
    <w:abstractNumId w:val="20"/>
  </w:num>
  <w:num w:numId="68" w16cid:durableId="27796980">
    <w:abstractNumId w:val="30"/>
  </w:num>
  <w:num w:numId="69" w16cid:durableId="1194270683">
    <w:abstractNumId w:val="36"/>
  </w:num>
  <w:num w:numId="70" w16cid:durableId="121003035">
    <w:abstractNumId w:val="65"/>
  </w:num>
  <w:num w:numId="71" w16cid:durableId="103503185">
    <w:abstractNumId w:val="80"/>
  </w:num>
  <w:num w:numId="72" w16cid:durableId="1268196786">
    <w:abstractNumId w:val="53"/>
  </w:num>
  <w:num w:numId="73" w16cid:durableId="614678128">
    <w:abstractNumId w:val="22"/>
  </w:num>
  <w:num w:numId="74" w16cid:durableId="1935742530">
    <w:abstractNumId w:val="31"/>
  </w:num>
  <w:num w:numId="75" w16cid:durableId="130951133">
    <w:abstractNumId w:val="2"/>
  </w:num>
  <w:num w:numId="76" w16cid:durableId="1420447827">
    <w:abstractNumId w:val="47"/>
  </w:num>
  <w:num w:numId="77" w16cid:durableId="389429048">
    <w:abstractNumId w:val="57"/>
  </w:num>
  <w:num w:numId="78" w16cid:durableId="515776955">
    <w:abstractNumId w:val="81"/>
  </w:num>
  <w:num w:numId="79" w16cid:durableId="1366297045">
    <w:abstractNumId w:val="41"/>
  </w:num>
  <w:num w:numId="80" w16cid:durableId="267275105">
    <w:abstractNumId w:val="9"/>
  </w:num>
  <w:num w:numId="81" w16cid:durableId="392390880">
    <w:abstractNumId w:val="10"/>
  </w:num>
  <w:num w:numId="82" w16cid:durableId="1937905430">
    <w:abstractNumId w:val="77"/>
  </w:num>
  <w:num w:numId="83" w16cid:durableId="840973098">
    <w:abstractNumId w:val="52"/>
  </w:num>
  <w:num w:numId="84" w16cid:durableId="1925262635">
    <w:abstractNumId w:val="33"/>
  </w:num>
  <w:num w:numId="85" w16cid:durableId="221331419">
    <w:abstractNumId w:val="6"/>
  </w:num>
  <w:num w:numId="86" w16cid:durableId="899291173">
    <w:abstractNumId w:val="4"/>
  </w:num>
  <w:num w:numId="87" w16cid:durableId="28074285">
    <w:abstractNumId w:val="37"/>
  </w:num>
  <w:num w:numId="88" w16cid:durableId="1065029265">
    <w:abstractNumId w:val="45"/>
  </w:num>
  <w:num w:numId="89" w16cid:durableId="991520482">
    <w:abstractNumId w:val="64"/>
  </w:num>
  <w:num w:numId="90" w16cid:durableId="414133647">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6281"/>
    <w:rsid w:val="000331D6"/>
    <w:rsid w:val="0004644E"/>
    <w:rsid w:val="00054706"/>
    <w:rsid w:val="00065CD8"/>
    <w:rsid w:val="00066CF6"/>
    <w:rsid w:val="00073BFE"/>
    <w:rsid w:val="0008129C"/>
    <w:rsid w:val="000849BD"/>
    <w:rsid w:val="000849FC"/>
    <w:rsid w:val="00085001"/>
    <w:rsid w:val="0008759A"/>
    <w:rsid w:val="000A0FF2"/>
    <w:rsid w:val="000A1E38"/>
    <w:rsid w:val="000A725F"/>
    <w:rsid w:val="000A7EB6"/>
    <w:rsid w:val="000B25CE"/>
    <w:rsid w:val="000C1957"/>
    <w:rsid w:val="000C4784"/>
    <w:rsid w:val="000D0CAC"/>
    <w:rsid w:val="000D1200"/>
    <w:rsid w:val="000D351D"/>
    <w:rsid w:val="000D7EB7"/>
    <w:rsid w:val="000E1C6B"/>
    <w:rsid w:val="000E25DC"/>
    <w:rsid w:val="000E2B83"/>
    <w:rsid w:val="000F034C"/>
    <w:rsid w:val="00103745"/>
    <w:rsid w:val="001143F4"/>
    <w:rsid w:val="001171D3"/>
    <w:rsid w:val="00117559"/>
    <w:rsid w:val="00120CC8"/>
    <w:rsid w:val="00124C31"/>
    <w:rsid w:val="00130A60"/>
    <w:rsid w:val="00130EEE"/>
    <w:rsid w:val="00132D96"/>
    <w:rsid w:val="00134C76"/>
    <w:rsid w:val="00144D6A"/>
    <w:rsid w:val="00154AFF"/>
    <w:rsid w:val="00155852"/>
    <w:rsid w:val="0015772D"/>
    <w:rsid w:val="0016006A"/>
    <w:rsid w:val="00163A4E"/>
    <w:rsid w:val="00170D12"/>
    <w:rsid w:val="00176799"/>
    <w:rsid w:val="00180C6D"/>
    <w:rsid w:val="00191359"/>
    <w:rsid w:val="00191638"/>
    <w:rsid w:val="0019172D"/>
    <w:rsid w:val="00193E1E"/>
    <w:rsid w:val="00197EB9"/>
    <w:rsid w:val="001A59F0"/>
    <w:rsid w:val="001A65D6"/>
    <w:rsid w:val="001B1BA3"/>
    <w:rsid w:val="001B6848"/>
    <w:rsid w:val="001C2EBE"/>
    <w:rsid w:val="001C3264"/>
    <w:rsid w:val="001C3DE8"/>
    <w:rsid w:val="001D0EB2"/>
    <w:rsid w:val="001E334B"/>
    <w:rsid w:val="001E3503"/>
    <w:rsid w:val="001E6FDB"/>
    <w:rsid w:val="001F13D7"/>
    <w:rsid w:val="001F4A5A"/>
    <w:rsid w:val="001F6958"/>
    <w:rsid w:val="00205237"/>
    <w:rsid w:val="00205E96"/>
    <w:rsid w:val="00206F3F"/>
    <w:rsid w:val="00215553"/>
    <w:rsid w:val="00215DF0"/>
    <w:rsid w:val="00222530"/>
    <w:rsid w:val="00227765"/>
    <w:rsid w:val="00243926"/>
    <w:rsid w:val="00244841"/>
    <w:rsid w:val="00260D65"/>
    <w:rsid w:val="0027069E"/>
    <w:rsid w:val="0027242B"/>
    <w:rsid w:val="00272EF8"/>
    <w:rsid w:val="002735B5"/>
    <w:rsid w:val="00273AA2"/>
    <w:rsid w:val="00280DE8"/>
    <w:rsid w:val="00285C6D"/>
    <w:rsid w:val="00287167"/>
    <w:rsid w:val="0029070A"/>
    <w:rsid w:val="002910CA"/>
    <w:rsid w:val="00297C28"/>
    <w:rsid w:val="002A0566"/>
    <w:rsid w:val="002A4D43"/>
    <w:rsid w:val="002A5DF6"/>
    <w:rsid w:val="002B1CAF"/>
    <w:rsid w:val="002B346F"/>
    <w:rsid w:val="002B5288"/>
    <w:rsid w:val="002B62C3"/>
    <w:rsid w:val="002B7B18"/>
    <w:rsid w:val="002C0153"/>
    <w:rsid w:val="002D02A1"/>
    <w:rsid w:val="002D22BC"/>
    <w:rsid w:val="002D2AAF"/>
    <w:rsid w:val="002D3F34"/>
    <w:rsid w:val="002D7C1F"/>
    <w:rsid w:val="002E34DF"/>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6436C"/>
    <w:rsid w:val="003703D1"/>
    <w:rsid w:val="00370A52"/>
    <w:rsid w:val="0038280D"/>
    <w:rsid w:val="00387E26"/>
    <w:rsid w:val="0039494F"/>
    <w:rsid w:val="00397B59"/>
    <w:rsid w:val="003A164B"/>
    <w:rsid w:val="003A22A6"/>
    <w:rsid w:val="003B122B"/>
    <w:rsid w:val="003B18C9"/>
    <w:rsid w:val="003B3830"/>
    <w:rsid w:val="003B43B2"/>
    <w:rsid w:val="003C485E"/>
    <w:rsid w:val="003C6E1F"/>
    <w:rsid w:val="003D363A"/>
    <w:rsid w:val="003D57AF"/>
    <w:rsid w:val="003D7CB6"/>
    <w:rsid w:val="003E1282"/>
    <w:rsid w:val="003E34A5"/>
    <w:rsid w:val="003E4A04"/>
    <w:rsid w:val="003E70CE"/>
    <w:rsid w:val="003F238E"/>
    <w:rsid w:val="003F3B27"/>
    <w:rsid w:val="003F4907"/>
    <w:rsid w:val="003F5A05"/>
    <w:rsid w:val="004114A0"/>
    <w:rsid w:val="00427372"/>
    <w:rsid w:val="00427A79"/>
    <w:rsid w:val="00427B79"/>
    <w:rsid w:val="00431F57"/>
    <w:rsid w:val="00432426"/>
    <w:rsid w:val="00433458"/>
    <w:rsid w:val="0043538D"/>
    <w:rsid w:val="0044068F"/>
    <w:rsid w:val="00445BB8"/>
    <w:rsid w:val="00446495"/>
    <w:rsid w:val="0044652E"/>
    <w:rsid w:val="00447665"/>
    <w:rsid w:val="004510B3"/>
    <w:rsid w:val="00454A5D"/>
    <w:rsid w:val="004558DA"/>
    <w:rsid w:val="004630A2"/>
    <w:rsid w:val="004640BA"/>
    <w:rsid w:val="00465ACE"/>
    <w:rsid w:val="0047146B"/>
    <w:rsid w:val="00471D52"/>
    <w:rsid w:val="00472F7B"/>
    <w:rsid w:val="00477BDF"/>
    <w:rsid w:val="0048121F"/>
    <w:rsid w:val="00482144"/>
    <w:rsid w:val="004878F5"/>
    <w:rsid w:val="00487C77"/>
    <w:rsid w:val="00491AC2"/>
    <w:rsid w:val="00492D4C"/>
    <w:rsid w:val="004A0D1A"/>
    <w:rsid w:val="004A27A6"/>
    <w:rsid w:val="004A3B33"/>
    <w:rsid w:val="004B0942"/>
    <w:rsid w:val="004B3B54"/>
    <w:rsid w:val="004B3BB0"/>
    <w:rsid w:val="004B5EDE"/>
    <w:rsid w:val="004C56E7"/>
    <w:rsid w:val="004C5AD4"/>
    <w:rsid w:val="004D10DC"/>
    <w:rsid w:val="004D29FD"/>
    <w:rsid w:val="004D5D44"/>
    <w:rsid w:val="004E21CA"/>
    <w:rsid w:val="004E2460"/>
    <w:rsid w:val="004E2AF9"/>
    <w:rsid w:val="004E578B"/>
    <w:rsid w:val="004E5CF2"/>
    <w:rsid w:val="004E70EE"/>
    <w:rsid w:val="0050072B"/>
    <w:rsid w:val="00504993"/>
    <w:rsid w:val="00504B70"/>
    <w:rsid w:val="00513B54"/>
    <w:rsid w:val="0051612D"/>
    <w:rsid w:val="0051729D"/>
    <w:rsid w:val="005173CE"/>
    <w:rsid w:val="00521DEB"/>
    <w:rsid w:val="00523A0E"/>
    <w:rsid w:val="00524CEC"/>
    <w:rsid w:val="00527038"/>
    <w:rsid w:val="00530599"/>
    <w:rsid w:val="0054120A"/>
    <w:rsid w:val="00542E76"/>
    <w:rsid w:val="0055344C"/>
    <w:rsid w:val="00564A1B"/>
    <w:rsid w:val="0056792F"/>
    <w:rsid w:val="0057039E"/>
    <w:rsid w:val="00573228"/>
    <w:rsid w:val="00576C33"/>
    <w:rsid w:val="00590285"/>
    <w:rsid w:val="00590A94"/>
    <w:rsid w:val="00591756"/>
    <w:rsid w:val="00591FD3"/>
    <w:rsid w:val="0059325B"/>
    <w:rsid w:val="005935E9"/>
    <w:rsid w:val="005A24C2"/>
    <w:rsid w:val="005A514D"/>
    <w:rsid w:val="005A5A9E"/>
    <w:rsid w:val="005A655E"/>
    <w:rsid w:val="005A6EF0"/>
    <w:rsid w:val="005A73B5"/>
    <w:rsid w:val="005B0F40"/>
    <w:rsid w:val="005B4ED7"/>
    <w:rsid w:val="005B754A"/>
    <w:rsid w:val="005C2C0E"/>
    <w:rsid w:val="005C7FC7"/>
    <w:rsid w:val="005D02ED"/>
    <w:rsid w:val="005D0D2C"/>
    <w:rsid w:val="005D3F73"/>
    <w:rsid w:val="005D5E80"/>
    <w:rsid w:val="005D7065"/>
    <w:rsid w:val="005D7AA4"/>
    <w:rsid w:val="005D7F19"/>
    <w:rsid w:val="005F0DF1"/>
    <w:rsid w:val="005F317F"/>
    <w:rsid w:val="00600291"/>
    <w:rsid w:val="00600411"/>
    <w:rsid w:val="00601FD2"/>
    <w:rsid w:val="00605369"/>
    <w:rsid w:val="006054E6"/>
    <w:rsid w:val="00605600"/>
    <w:rsid w:val="00610599"/>
    <w:rsid w:val="006109DA"/>
    <w:rsid w:val="00611CAA"/>
    <w:rsid w:val="00614426"/>
    <w:rsid w:val="00615605"/>
    <w:rsid w:val="00616AD4"/>
    <w:rsid w:val="00621CEF"/>
    <w:rsid w:val="00621D9C"/>
    <w:rsid w:val="00626841"/>
    <w:rsid w:val="006275E4"/>
    <w:rsid w:val="006279F7"/>
    <w:rsid w:val="006303D6"/>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B2472"/>
    <w:rsid w:val="006C1C69"/>
    <w:rsid w:val="006C2615"/>
    <w:rsid w:val="006C3DEF"/>
    <w:rsid w:val="006C4DCA"/>
    <w:rsid w:val="006C556D"/>
    <w:rsid w:val="006D13FC"/>
    <w:rsid w:val="006E171C"/>
    <w:rsid w:val="006E174F"/>
    <w:rsid w:val="006E2202"/>
    <w:rsid w:val="006E2CD5"/>
    <w:rsid w:val="006E3292"/>
    <w:rsid w:val="006F3F60"/>
    <w:rsid w:val="00700C2A"/>
    <w:rsid w:val="00703E6F"/>
    <w:rsid w:val="00712BA6"/>
    <w:rsid w:val="007175EF"/>
    <w:rsid w:val="00723E77"/>
    <w:rsid w:val="00724D7E"/>
    <w:rsid w:val="0072752F"/>
    <w:rsid w:val="007342AB"/>
    <w:rsid w:val="00736845"/>
    <w:rsid w:val="00740818"/>
    <w:rsid w:val="00743403"/>
    <w:rsid w:val="007470CC"/>
    <w:rsid w:val="00754D96"/>
    <w:rsid w:val="00757756"/>
    <w:rsid w:val="00761B54"/>
    <w:rsid w:val="0076200A"/>
    <w:rsid w:val="00764448"/>
    <w:rsid w:val="007730F7"/>
    <w:rsid w:val="00775A06"/>
    <w:rsid w:val="00775C4D"/>
    <w:rsid w:val="00790542"/>
    <w:rsid w:val="007915AB"/>
    <w:rsid w:val="00791A0B"/>
    <w:rsid w:val="007A05FC"/>
    <w:rsid w:val="007A469C"/>
    <w:rsid w:val="007B1915"/>
    <w:rsid w:val="007B4184"/>
    <w:rsid w:val="007B4FCD"/>
    <w:rsid w:val="007B5FA1"/>
    <w:rsid w:val="007B7958"/>
    <w:rsid w:val="007C5D54"/>
    <w:rsid w:val="007C770B"/>
    <w:rsid w:val="007C7E8B"/>
    <w:rsid w:val="007D2B14"/>
    <w:rsid w:val="007D2EF6"/>
    <w:rsid w:val="007D4C48"/>
    <w:rsid w:val="007E12C7"/>
    <w:rsid w:val="007E709F"/>
    <w:rsid w:val="007F229B"/>
    <w:rsid w:val="007F354E"/>
    <w:rsid w:val="007F651D"/>
    <w:rsid w:val="007F6616"/>
    <w:rsid w:val="00800F92"/>
    <w:rsid w:val="00804613"/>
    <w:rsid w:val="008053EA"/>
    <w:rsid w:val="00810E92"/>
    <w:rsid w:val="008121BE"/>
    <w:rsid w:val="00814383"/>
    <w:rsid w:val="00816026"/>
    <w:rsid w:val="00816248"/>
    <w:rsid w:val="00820725"/>
    <w:rsid w:val="0082224F"/>
    <w:rsid w:val="0082325B"/>
    <w:rsid w:val="008267F1"/>
    <w:rsid w:val="008300B3"/>
    <w:rsid w:val="00830215"/>
    <w:rsid w:val="00830E22"/>
    <w:rsid w:val="00831C03"/>
    <w:rsid w:val="00832951"/>
    <w:rsid w:val="008364DB"/>
    <w:rsid w:val="00840130"/>
    <w:rsid w:val="00841404"/>
    <w:rsid w:val="008433DA"/>
    <w:rsid w:val="00846DF0"/>
    <w:rsid w:val="00847AC3"/>
    <w:rsid w:val="00847CCE"/>
    <w:rsid w:val="00856786"/>
    <w:rsid w:val="00861FC0"/>
    <w:rsid w:val="00863F42"/>
    <w:rsid w:val="00864873"/>
    <w:rsid w:val="00865A66"/>
    <w:rsid w:val="008709FD"/>
    <w:rsid w:val="00874441"/>
    <w:rsid w:val="00880B0A"/>
    <w:rsid w:val="0088618B"/>
    <w:rsid w:val="008915F8"/>
    <w:rsid w:val="008917A5"/>
    <w:rsid w:val="0089257D"/>
    <w:rsid w:val="008974D7"/>
    <w:rsid w:val="008979AB"/>
    <w:rsid w:val="008A6DCD"/>
    <w:rsid w:val="008B0F59"/>
    <w:rsid w:val="008C21E4"/>
    <w:rsid w:val="008C5C03"/>
    <w:rsid w:val="008D0303"/>
    <w:rsid w:val="008D180A"/>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50BAF"/>
    <w:rsid w:val="009547FA"/>
    <w:rsid w:val="0095618E"/>
    <w:rsid w:val="009633B4"/>
    <w:rsid w:val="009636F5"/>
    <w:rsid w:val="009669A3"/>
    <w:rsid w:val="00970439"/>
    <w:rsid w:val="009723F7"/>
    <w:rsid w:val="009759B6"/>
    <w:rsid w:val="009768D0"/>
    <w:rsid w:val="009772AE"/>
    <w:rsid w:val="00990552"/>
    <w:rsid w:val="009936BA"/>
    <w:rsid w:val="00994B69"/>
    <w:rsid w:val="00997326"/>
    <w:rsid w:val="009A2404"/>
    <w:rsid w:val="009A4741"/>
    <w:rsid w:val="009B03D5"/>
    <w:rsid w:val="009B192D"/>
    <w:rsid w:val="009B2CB0"/>
    <w:rsid w:val="009B4E08"/>
    <w:rsid w:val="009B78AE"/>
    <w:rsid w:val="009C1C14"/>
    <w:rsid w:val="009C3EA9"/>
    <w:rsid w:val="009D0934"/>
    <w:rsid w:val="009D1351"/>
    <w:rsid w:val="009D2170"/>
    <w:rsid w:val="009D69EB"/>
    <w:rsid w:val="009E01FE"/>
    <w:rsid w:val="009E1B18"/>
    <w:rsid w:val="009E6E51"/>
    <w:rsid w:val="009F1367"/>
    <w:rsid w:val="009F1E1A"/>
    <w:rsid w:val="009F2F43"/>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0E3A"/>
    <w:rsid w:val="00A31927"/>
    <w:rsid w:val="00A402AC"/>
    <w:rsid w:val="00A43443"/>
    <w:rsid w:val="00A50049"/>
    <w:rsid w:val="00A6242F"/>
    <w:rsid w:val="00A624B3"/>
    <w:rsid w:val="00A659BD"/>
    <w:rsid w:val="00A71523"/>
    <w:rsid w:val="00A71D5B"/>
    <w:rsid w:val="00A80F86"/>
    <w:rsid w:val="00A82737"/>
    <w:rsid w:val="00A833F7"/>
    <w:rsid w:val="00A83B92"/>
    <w:rsid w:val="00A92064"/>
    <w:rsid w:val="00A9253F"/>
    <w:rsid w:val="00A949D8"/>
    <w:rsid w:val="00AA25DB"/>
    <w:rsid w:val="00AB740C"/>
    <w:rsid w:val="00AC016E"/>
    <w:rsid w:val="00AC096C"/>
    <w:rsid w:val="00AC121F"/>
    <w:rsid w:val="00AC1936"/>
    <w:rsid w:val="00AC62F0"/>
    <w:rsid w:val="00AC7F5A"/>
    <w:rsid w:val="00AD0AE3"/>
    <w:rsid w:val="00AD18AF"/>
    <w:rsid w:val="00AD3B29"/>
    <w:rsid w:val="00AE01A2"/>
    <w:rsid w:val="00AE7AE5"/>
    <w:rsid w:val="00AF291F"/>
    <w:rsid w:val="00AF3701"/>
    <w:rsid w:val="00AF4BE0"/>
    <w:rsid w:val="00AF6DE5"/>
    <w:rsid w:val="00B03923"/>
    <w:rsid w:val="00B04251"/>
    <w:rsid w:val="00B102AE"/>
    <w:rsid w:val="00B10E3A"/>
    <w:rsid w:val="00B1124F"/>
    <w:rsid w:val="00B11432"/>
    <w:rsid w:val="00B11A16"/>
    <w:rsid w:val="00B14E66"/>
    <w:rsid w:val="00B17AA1"/>
    <w:rsid w:val="00B2376F"/>
    <w:rsid w:val="00B23C68"/>
    <w:rsid w:val="00B23C6F"/>
    <w:rsid w:val="00B245B6"/>
    <w:rsid w:val="00B30025"/>
    <w:rsid w:val="00B30F31"/>
    <w:rsid w:val="00B315F0"/>
    <w:rsid w:val="00B31DE3"/>
    <w:rsid w:val="00B32B01"/>
    <w:rsid w:val="00B358D7"/>
    <w:rsid w:val="00B44DDC"/>
    <w:rsid w:val="00B572AB"/>
    <w:rsid w:val="00B60DEE"/>
    <w:rsid w:val="00B61A35"/>
    <w:rsid w:val="00B63465"/>
    <w:rsid w:val="00B636DC"/>
    <w:rsid w:val="00B65387"/>
    <w:rsid w:val="00B66A1D"/>
    <w:rsid w:val="00B71881"/>
    <w:rsid w:val="00B84917"/>
    <w:rsid w:val="00B85FD0"/>
    <w:rsid w:val="00BA1C6D"/>
    <w:rsid w:val="00BA254E"/>
    <w:rsid w:val="00BA387C"/>
    <w:rsid w:val="00BA59C3"/>
    <w:rsid w:val="00BA7DDB"/>
    <w:rsid w:val="00BB3691"/>
    <w:rsid w:val="00BB5046"/>
    <w:rsid w:val="00BD3511"/>
    <w:rsid w:val="00BD6193"/>
    <w:rsid w:val="00BE07D2"/>
    <w:rsid w:val="00BE4741"/>
    <w:rsid w:val="00BE64AB"/>
    <w:rsid w:val="00BE6AD5"/>
    <w:rsid w:val="00BF1EA9"/>
    <w:rsid w:val="00BF38EB"/>
    <w:rsid w:val="00BF710B"/>
    <w:rsid w:val="00BF7651"/>
    <w:rsid w:val="00BF7D6E"/>
    <w:rsid w:val="00C00FED"/>
    <w:rsid w:val="00C03054"/>
    <w:rsid w:val="00C03D1C"/>
    <w:rsid w:val="00C12262"/>
    <w:rsid w:val="00C1605A"/>
    <w:rsid w:val="00C1694F"/>
    <w:rsid w:val="00C17739"/>
    <w:rsid w:val="00C20538"/>
    <w:rsid w:val="00C20852"/>
    <w:rsid w:val="00C209D6"/>
    <w:rsid w:val="00C21A15"/>
    <w:rsid w:val="00C26E92"/>
    <w:rsid w:val="00C338AE"/>
    <w:rsid w:val="00C35C40"/>
    <w:rsid w:val="00C36283"/>
    <w:rsid w:val="00C44E72"/>
    <w:rsid w:val="00C56265"/>
    <w:rsid w:val="00C6059F"/>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16B5"/>
    <w:rsid w:val="00CA5D6D"/>
    <w:rsid w:val="00CB1236"/>
    <w:rsid w:val="00CB5426"/>
    <w:rsid w:val="00CB5D17"/>
    <w:rsid w:val="00CC094F"/>
    <w:rsid w:val="00CC267B"/>
    <w:rsid w:val="00CC2FE5"/>
    <w:rsid w:val="00CC54D8"/>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0C0"/>
    <w:rsid w:val="00D17E3D"/>
    <w:rsid w:val="00D23553"/>
    <w:rsid w:val="00D23D23"/>
    <w:rsid w:val="00D26581"/>
    <w:rsid w:val="00D27B67"/>
    <w:rsid w:val="00D30378"/>
    <w:rsid w:val="00D30C73"/>
    <w:rsid w:val="00D33B23"/>
    <w:rsid w:val="00D356BB"/>
    <w:rsid w:val="00D379F0"/>
    <w:rsid w:val="00D37B08"/>
    <w:rsid w:val="00D45485"/>
    <w:rsid w:val="00D50B23"/>
    <w:rsid w:val="00D51A0E"/>
    <w:rsid w:val="00D73EE0"/>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36D2"/>
    <w:rsid w:val="00E16105"/>
    <w:rsid w:val="00E246F2"/>
    <w:rsid w:val="00E406B1"/>
    <w:rsid w:val="00E420D9"/>
    <w:rsid w:val="00E45709"/>
    <w:rsid w:val="00E4691D"/>
    <w:rsid w:val="00E47BBE"/>
    <w:rsid w:val="00E53C0F"/>
    <w:rsid w:val="00E568A4"/>
    <w:rsid w:val="00E56FA2"/>
    <w:rsid w:val="00E640D0"/>
    <w:rsid w:val="00E7382A"/>
    <w:rsid w:val="00E763FE"/>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158"/>
    <w:rsid w:val="00F0089B"/>
    <w:rsid w:val="00F06D5B"/>
    <w:rsid w:val="00F10344"/>
    <w:rsid w:val="00F114AE"/>
    <w:rsid w:val="00F115A9"/>
    <w:rsid w:val="00F1469E"/>
    <w:rsid w:val="00F21322"/>
    <w:rsid w:val="00F34C5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B341F"/>
    <w:rsid w:val="00FB4790"/>
    <w:rsid w:val="00FB5FC1"/>
    <w:rsid w:val="00FC3ED7"/>
    <w:rsid w:val="00FD380B"/>
    <w:rsid w:val="00FD447B"/>
    <w:rsid w:val="00FE14BA"/>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5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pPr>
      <w:spacing w:line="480" w:lineRule="auto"/>
      <w:ind w:left="720" w:hanging="720"/>
    </w:pPr>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 w:type="paragraph" w:styleId="Revision">
    <w:name w:val="Revision"/>
    <w:hidden/>
    <w:uiPriority w:val="99"/>
    <w:semiHidden/>
    <w:rsid w:val="00CC094F"/>
    <w:rPr>
      <w:rFonts w:ascii="Times New Roman" w:eastAsia="Times New Roman" w:hAnsi="Times New Roman" w:cs="Times New Roman"/>
      <w:lang w:val="en-ID" w:eastAsia="en-ID"/>
    </w:rPr>
  </w:style>
  <w:style w:type="table" w:styleId="PlainTable3">
    <w:name w:val="Plain Table 3"/>
    <w:basedOn w:val="TableNormal"/>
    <w:uiPriority w:val="43"/>
    <w:rsid w:val="009723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8">
    <w:name w:val="8"/>
    <w:basedOn w:val="TableNormal"/>
    <w:rsid w:val="00775A06"/>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apple-converted-space">
    <w:name w:val="apple-converted-space"/>
    <w:basedOn w:val="DefaultParagraphFont"/>
    <w:rsid w:val="00775A06"/>
  </w:style>
  <w:style w:type="table" w:customStyle="1" w:styleId="a">
    <w:name w:val="a"/>
    <w:basedOn w:val="TableNormal"/>
    <w:rsid w:val="00775A06"/>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name w:val="a0"/>
    <w:basedOn w:val="TableNormal"/>
    <w:rsid w:val="00775A06"/>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name w:val="a1"/>
    <w:basedOn w:val="TableNormal"/>
    <w:rsid w:val="00775A06"/>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name w:val="a2"/>
    <w:basedOn w:val="TableNormal"/>
    <w:rsid w:val="00775A06"/>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name w:val="a3"/>
    <w:basedOn w:val="TableNormal"/>
    <w:rsid w:val="00775A06"/>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name w:val="a4"/>
    <w:basedOn w:val="TableNormal"/>
    <w:rsid w:val="00775A06"/>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name w:val="a5"/>
    <w:basedOn w:val="TableNormal"/>
    <w:rsid w:val="00775A06"/>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table" w:styleId="PlainTable2">
    <w:name w:val="Plain Table 2"/>
    <w:basedOn w:val="TableNormal"/>
    <w:uiPriority w:val="42"/>
    <w:rsid w:val="00B85F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822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323704">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6290">
      <w:bodyDiv w:val="1"/>
      <w:marLeft w:val="0"/>
      <w:marRight w:val="0"/>
      <w:marTop w:val="0"/>
      <w:marBottom w:val="0"/>
      <w:divBdr>
        <w:top w:val="none" w:sz="0" w:space="0" w:color="auto"/>
        <w:left w:val="none" w:sz="0" w:space="0" w:color="auto"/>
        <w:bottom w:val="none" w:sz="0" w:space="0" w:color="auto"/>
        <w:right w:val="none" w:sz="0" w:space="0" w:color="auto"/>
      </w:divBdr>
    </w:div>
    <w:div w:id="62995194">
      <w:bodyDiv w:val="1"/>
      <w:marLeft w:val="0"/>
      <w:marRight w:val="0"/>
      <w:marTop w:val="0"/>
      <w:marBottom w:val="0"/>
      <w:divBdr>
        <w:top w:val="none" w:sz="0" w:space="0" w:color="auto"/>
        <w:left w:val="none" w:sz="0" w:space="0" w:color="auto"/>
        <w:bottom w:val="none" w:sz="0" w:space="0" w:color="auto"/>
        <w:right w:val="none" w:sz="0" w:space="0" w:color="auto"/>
      </w:divBdr>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66809536">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93747570">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196433441">
      <w:bodyDiv w:val="1"/>
      <w:marLeft w:val="0"/>
      <w:marRight w:val="0"/>
      <w:marTop w:val="0"/>
      <w:marBottom w:val="0"/>
      <w:divBdr>
        <w:top w:val="none" w:sz="0" w:space="0" w:color="auto"/>
        <w:left w:val="none" w:sz="0" w:space="0" w:color="auto"/>
        <w:bottom w:val="none" w:sz="0" w:space="0" w:color="auto"/>
        <w:right w:val="none" w:sz="0" w:space="0" w:color="auto"/>
      </w:divBdr>
      <w:divsChild>
        <w:div w:id="1742294859">
          <w:marLeft w:val="0"/>
          <w:marRight w:val="0"/>
          <w:marTop w:val="0"/>
          <w:marBottom w:val="0"/>
          <w:divBdr>
            <w:top w:val="none" w:sz="0" w:space="0" w:color="auto"/>
            <w:left w:val="none" w:sz="0" w:space="0" w:color="auto"/>
            <w:bottom w:val="none" w:sz="0" w:space="0" w:color="auto"/>
            <w:right w:val="none" w:sz="0" w:space="0" w:color="auto"/>
          </w:divBdr>
          <w:divsChild>
            <w:div w:id="472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5679">
      <w:bodyDiv w:val="1"/>
      <w:marLeft w:val="0"/>
      <w:marRight w:val="0"/>
      <w:marTop w:val="0"/>
      <w:marBottom w:val="0"/>
      <w:divBdr>
        <w:top w:val="none" w:sz="0" w:space="0" w:color="auto"/>
        <w:left w:val="none" w:sz="0" w:space="0" w:color="auto"/>
        <w:bottom w:val="none" w:sz="0" w:space="0" w:color="auto"/>
        <w:right w:val="none" w:sz="0" w:space="0" w:color="auto"/>
      </w:divBdr>
    </w:div>
    <w:div w:id="212011834">
      <w:bodyDiv w:val="1"/>
      <w:marLeft w:val="0"/>
      <w:marRight w:val="0"/>
      <w:marTop w:val="0"/>
      <w:marBottom w:val="0"/>
      <w:divBdr>
        <w:top w:val="none" w:sz="0" w:space="0" w:color="auto"/>
        <w:left w:val="none" w:sz="0" w:space="0" w:color="auto"/>
        <w:bottom w:val="none" w:sz="0" w:space="0" w:color="auto"/>
        <w:right w:val="none" w:sz="0" w:space="0" w:color="auto"/>
      </w:divBdr>
      <w:divsChild>
        <w:div w:id="331375543">
          <w:marLeft w:val="0"/>
          <w:marRight w:val="0"/>
          <w:marTop w:val="0"/>
          <w:marBottom w:val="0"/>
          <w:divBdr>
            <w:top w:val="none" w:sz="0" w:space="0" w:color="auto"/>
            <w:left w:val="none" w:sz="0" w:space="0" w:color="auto"/>
            <w:bottom w:val="none" w:sz="0" w:space="0" w:color="auto"/>
            <w:right w:val="none" w:sz="0" w:space="0" w:color="auto"/>
          </w:divBdr>
          <w:divsChild>
            <w:div w:id="12039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28080941">
      <w:bodyDiv w:val="1"/>
      <w:marLeft w:val="0"/>
      <w:marRight w:val="0"/>
      <w:marTop w:val="0"/>
      <w:marBottom w:val="0"/>
      <w:divBdr>
        <w:top w:val="none" w:sz="0" w:space="0" w:color="auto"/>
        <w:left w:val="none" w:sz="0" w:space="0" w:color="auto"/>
        <w:bottom w:val="none" w:sz="0" w:space="0" w:color="auto"/>
        <w:right w:val="none" w:sz="0" w:space="0" w:color="auto"/>
      </w:divBdr>
    </w:div>
    <w:div w:id="236061176">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497756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36621533">
      <w:bodyDiv w:val="1"/>
      <w:marLeft w:val="0"/>
      <w:marRight w:val="0"/>
      <w:marTop w:val="0"/>
      <w:marBottom w:val="0"/>
      <w:divBdr>
        <w:top w:val="none" w:sz="0" w:space="0" w:color="auto"/>
        <w:left w:val="none" w:sz="0" w:space="0" w:color="auto"/>
        <w:bottom w:val="none" w:sz="0" w:space="0" w:color="auto"/>
        <w:right w:val="none" w:sz="0" w:space="0" w:color="auto"/>
      </w:divBdr>
    </w:div>
    <w:div w:id="374084736">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88649557">
      <w:bodyDiv w:val="1"/>
      <w:marLeft w:val="0"/>
      <w:marRight w:val="0"/>
      <w:marTop w:val="0"/>
      <w:marBottom w:val="0"/>
      <w:divBdr>
        <w:top w:val="none" w:sz="0" w:space="0" w:color="auto"/>
        <w:left w:val="none" w:sz="0" w:space="0" w:color="auto"/>
        <w:bottom w:val="none" w:sz="0" w:space="0" w:color="auto"/>
        <w:right w:val="none" w:sz="0" w:space="0" w:color="auto"/>
      </w:divBdr>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2025491">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06542">
      <w:bodyDiv w:val="1"/>
      <w:marLeft w:val="0"/>
      <w:marRight w:val="0"/>
      <w:marTop w:val="0"/>
      <w:marBottom w:val="0"/>
      <w:divBdr>
        <w:top w:val="none" w:sz="0" w:space="0" w:color="auto"/>
        <w:left w:val="none" w:sz="0" w:space="0" w:color="auto"/>
        <w:bottom w:val="none" w:sz="0" w:space="0" w:color="auto"/>
        <w:right w:val="none" w:sz="0" w:space="0" w:color="auto"/>
      </w:divBdr>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5163629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17409">
      <w:bodyDiv w:val="1"/>
      <w:marLeft w:val="0"/>
      <w:marRight w:val="0"/>
      <w:marTop w:val="0"/>
      <w:marBottom w:val="0"/>
      <w:divBdr>
        <w:top w:val="none" w:sz="0" w:space="0" w:color="auto"/>
        <w:left w:val="none" w:sz="0" w:space="0" w:color="auto"/>
        <w:bottom w:val="none" w:sz="0" w:space="0" w:color="auto"/>
        <w:right w:val="none" w:sz="0" w:space="0" w:color="auto"/>
      </w:divBdr>
    </w:div>
    <w:div w:id="511340754">
      <w:bodyDiv w:val="1"/>
      <w:marLeft w:val="0"/>
      <w:marRight w:val="0"/>
      <w:marTop w:val="0"/>
      <w:marBottom w:val="0"/>
      <w:divBdr>
        <w:top w:val="none" w:sz="0" w:space="0" w:color="auto"/>
        <w:left w:val="none" w:sz="0" w:space="0" w:color="auto"/>
        <w:bottom w:val="none" w:sz="0" w:space="0" w:color="auto"/>
        <w:right w:val="none" w:sz="0" w:space="0" w:color="auto"/>
      </w:divBdr>
    </w:div>
    <w:div w:id="515654125">
      <w:bodyDiv w:val="1"/>
      <w:marLeft w:val="0"/>
      <w:marRight w:val="0"/>
      <w:marTop w:val="0"/>
      <w:marBottom w:val="0"/>
      <w:divBdr>
        <w:top w:val="none" w:sz="0" w:space="0" w:color="auto"/>
        <w:left w:val="none" w:sz="0" w:space="0" w:color="auto"/>
        <w:bottom w:val="none" w:sz="0" w:space="0" w:color="auto"/>
        <w:right w:val="none" w:sz="0" w:space="0" w:color="auto"/>
      </w:divBdr>
    </w:div>
    <w:div w:id="517349795">
      <w:bodyDiv w:val="1"/>
      <w:marLeft w:val="0"/>
      <w:marRight w:val="0"/>
      <w:marTop w:val="0"/>
      <w:marBottom w:val="0"/>
      <w:divBdr>
        <w:top w:val="none" w:sz="0" w:space="0" w:color="auto"/>
        <w:left w:val="none" w:sz="0" w:space="0" w:color="auto"/>
        <w:bottom w:val="none" w:sz="0" w:space="0" w:color="auto"/>
        <w:right w:val="none" w:sz="0" w:space="0" w:color="auto"/>
      </w:divBdr>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3091">
      <w:bodyDiv w:val="1"/>
      <w:marLeft w:val="0"/>
      <w:marRight w:val="0"/>
      <w:marTop w:val="0"/>
      <w:marBottom w:val="0"/>
      <w:divBdr>
        <w:top w:val="none" w:sz="0" w:space="0" w:color="auto"/>
        <w:left w:val="none" w:sz="0" w:space="0" w:color="auto"/>
        <w:bottom w:val="none" w:sz="0" w:space="0" w:color="auto"/>
        <w:right w:val="none" w:sz="0" w:space="0" w:color="auto"/>
      </w:divBdr>
    </w:div>
    <w:div w:id="529144634">
      <w:bodyDiv w:val="1"/>
      <w:marLeft w:val="0"/>
      <w:marRight w:val="0"/>
      <w:marTop w:val="0"/>
      <w:marBottom w:val="0"/>
      <w:divBdr>
        <w:top w:val="none" w:sz="0" w:space="0" w:color="auto"/>
        <w:left w:val="none" w:sz="0" w:space="0" w:color="auto"/>
        <w:bottom w:val="none" w:sz="0" w:space="0" w:color="auto"/>
        <w:right w:val="none" w:sz="0" w:space="0" w:color="auto"/>
      </w:divBdr>
      <w:divsChild>
        <w:div w:id="1957910705">
          <w:marLeft w:val="0"/>
          <w:marRight w:val="0"/>
          <w:marTop w:val="0"/>
          <w:marBottom w:val="0"/>
          <w:divBdr>
            <w:top w:val="none" w:sz="0" w:space="0" w:color="auto"/>
            <w:left w:val="none" w:sz="0" w:space="0" w:color="auto"/>
            <w:bottom w:val="none" w:sz="0" w:space="0" w:color="auto"/>
            <w:right w:val="none" w:sz="0" w:space="0" w:color="auto"/>
          </w:divBdr>
          <w:divsChild>
            <w:div w:id="8936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21229796">
      <w:bodyDiv w:val="1"/>
      <w:marLeft w:val="0"/>
      <w:marRight w:val="0"/>
      <w:marTop w:val="0"/>
      <w:marBottom w:val="0"/>
      <w:divBdr>
        <w:top w:val="none" w:sz="0" w:space="0" w:color="auto"/>
        <w:left w:val="none" w:sz="0" w:space="0" w:color="auto"/>
        <w:bottom w:val="none" w:sz="0" w:space="0" w:color="auto"/>
        <w:right w:val="none" w:sz="0" w:space="0" w:color="auto"/>
      </w:divBdr>
      <w:divsChild>
        <w:div w:id="146216329">
          <w:marLeft w:val="0"/>
          <w:marRight w:val="0"/>
          <w:marTop w:val="0"/>
          <w:marBottom w:val="0"/>
          <w:divBdr>
            <w:top w:val="none" w:sz="0" w:space="0" w:color="auto"/>
            <w:left w:val="none" w:sz="0" w:space="0" w:color="auto"/>
            <w:bottom w:val="none" w:sz="0" w:space="0" w:color="auto"/>
            <w:right w:val="none" w:sz="0" w:space="0" w:color="auto"/>
          </w:divBdr>
        </w:div>
      </w:divsChild>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3895496">
      <w:bodyDiv w:val="1"/>
      <w:marLeft w:val="0"/>
      <w:marRight w:val="0"/>
      <w:marTop w:val="0"/>
      <w:marBottom w:val="0"/>
      <w:divBdr>
        <w:top w:val="none" w:sz="0" w:space="0" w:color="auto"/>
        <w:left w:val="none" w:sz="0" w:space="0" w:color="auto"/>
        <w:bottom w:val="none" w:sz="0" w:space="0" w:color="auto"/>
        <w:right w:val="none" w:sz="0" w:space="0" w:color="auto"/>
      </w:divBdr>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68949914">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1344621">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
    <w:div w:id="718820844">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56946091">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57157174">
      <w:bodyDiv w:val="1"/>
      <w:marLeft w:val="0"/>
      <w:marRight w:val="0"/>
      <w:marTop w:val="0"/>
      <w:marBottom w:val="0"/>
      <w:divBdr>
        <w:top w:val="none" w:sz="0" w:space="0" w:color="auto"/>
        <w:left w:val="none" w:sz="0" w:space="0" w:color="auto"/>
        <w:bottom w:val="none" w:sz="0" w:space="0" w:color="auto"/>
        <w:right w:val="none" w:sz="0" w:space="0" w:color="auto"/>
      </w:divBdr>
      <w:divsChild>
        <w:div w:id="987589360">
          <w:marLeft w:val="0"/>
          <w:marRight w:val="0"/>
          <w:marTop w:val="0"/>
          <w:marBottom w:val="0"/>
          <w:divBdr>
            <w:top w:val="none" w:sz="0" w:space="0" w:color="auto"/>
            <w:left w:val="none" w:sz="0" w:space="0" w:color="auto"/>
            <w:bottom w:val="none" w:sz="0" w:space="0" w:color="auto"/>
            <w:right w:val="none" w:sz="0" w:space="0" w:color="auto"/>
          </w:divBdr>
          <w:divsChild>
            <w:div w:id="2503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7235">
      <w:bodyDiv w:val="1"/>
      <w:marLeft w:val="0"/>
      <w:marRight w:val="0"/>
      <w:marTop w:val="0"/>
      <w:marBottom w:val="0"/>
      <w:divBdr>
        <w:top w:val="none" w:sz="0" w:space="0" w:color="auto"/>
        <w:left w:val="none" w:sz="0" w:space="0" w:color="auto"/>
        <w:bottom w:val="none" w:sz="0" w:space="0" w:color="auto"/>
        <w:right w:val="none" w:sz="0" w:space="0" w:color="auto"/>
      </w:divBdr>
    </w:div>
    <w:div w:id="864103254">
      <w:bodyDiv w:val="1"/>
      <w:marLeft w:val="0"/>
      <w:marRight w:val="0"/>
      <w:marTop w:val="0"/>
      <w:marBottom w:val="0"/>
      <w:divBdr>
        <w:top w:val="none" w:sz="0" w:space="0" w:color="auto"/>
        <w:left w:val="none" w:sz="0" w:space="0" w:color="auto"/>
        <w:bottom w:val="none" w:sz="0" w:space="0" w:color="auto"/>
        <w:right w:val="none" w:sz="0" w:space="0" w:color="auto"/>
      </w:divBdr>
    </w:div>
    <w:div w:id="865942752">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2199219">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68703003">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78075509">
      <w:bodyDiv w:val="1"/>
      <w:marLeft w:val="0"/>
      <w:marRight w:val="0"/>
      <w:marTop w:val="0"/>
      <w:marBottom w:val="0"/>
      <w:divBdr>
        <w:top w:val="none" w:sz="0" w:space="0" w:color="auto"/>
        <w:left w:val="none" w:sz="0" w:space="0" w:color="auto"/>
        <w:bottom w:val="none" w:sz="0" w:space="0" w:color="auto"/>
        <w:right w:val="none" w:sz="0" w:space="0" w:color="auto"/>
      </w:divBdr>
      <w:divsChild>
        <w:div w:id="450443947">
          <w:marLeft w:val="0"/>
          <w:marRight w:val="0"/>
          <w:marTop w:val="0"/>
          <w:marBottom w:val="0"/>
          <w:divBdr>
            <w:top w:val="none" w:sz="0" w:space="0" w:color="auto"/>
            <w:left w:val="none" w:sz="0" w:space="0" w:color="auto"/>
            <w:bottom w:val="none" w:sz="0" w:space="0" w:color="auto"/>
            <w:right w:val="none" w:sz="0" w:space="0" w:color="auto"/>
          </w:divBdr>
          <w:divsChild>
            <w:div w:id="19517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996419339">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31761162">
      <w:bodyDiv w:val="1"/>
      <w:marLeft w:val="0"/>
      <w:marRight w:val="0"/>
      <w:marTop w:val="0"/>
      <w:marBottom w:val="0"/>
      <w:divBdr>
        <w:top w:val="none" w:sz="0" w:space="0" w:color="auto"/>
        <w:left w:val="none" w:sz="0" w:space="0" w:color="auto"/>
        <w:bottom w:val="none" w:sz="0" w:space="0" w:color="auto"/>
        <w:right w:val="none" w:sz="0" w:space="0" w:color="auto"/>
      </w:divBdr>
    </w:div>
    <w:div w:id="1060834315">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2646077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663556">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44933838">
      <w:bodyDiv w:val="1"/>
      <w:marLeft w:val="0"/>
      <w:marRight w:val="0"/>
      <w:marTop w:val="0"/>
      <w:marBottom w:val="0"/>
      <w:divBdr>
        <w:top w:val="none" w:sz="0" w:space="0" w:color="auto"/>
        <w:left w:val="none" w:sz="0" w:space="0" w:color="auto"/>
        <w:bottom w:val="none" w:sz="0" w:space="0" w:color="auto"/>
        <w:right w:val="none" w:sz="0" w:space="0" w:color="auto"/>
      </w:divBdr>
    </w:div>
    <w:div w:id="1361855404">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70760529">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54440656">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1673863">
      <w:bodyDiv w:val="1"/>
      <w:marLeft w:val="0"/>
      <w:marRight w:val="0"/>
      <w:marTop w:val="0"/>
      <w:marBottom w:val="0"/>
      <w:divBdr>
        <w:top w:val="none" w:sz="0" w:space="0" w:color="auto"/>
        <w:left w:val="none" w:sz="0" w:space="0" w:color="auto"/>
        <w:bottom w:val="none" w:sz="0" w:space="0" w:color="auto"/>
        <w:right w:val="none" w:sz="0" w:space="0" w:color="auto"/>
      </w:divBdr>
    </w:div>
    <w:div w:id="1493833054">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14223090">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23976394">
      <w:bodyDiv w:val="1"/>
      <w:marLeft w:val="0"/>
      <w:marRight w:val="0"/>
      <w:marTop w:val="0"/>
      <w:marBottom w:val="0"/>
      <w:divBdr>
        <w:top w:val="none" w:sz="0" w:space="0" w:color="auto"/>
        <w:left w:val="none" w:sz="0" w:space="0" w:color="auto"/>
        <w:bottom w:val="none" w:sz="0" w:space="0" w:color="auto"/>
        <w:right w:val="none" w:sz="0" w:space="0" w:color="auto"/>
      </w:divBdr>
    </w:div>
    <w:div w:id="1531530582">
      <w:bodyDiv w:val="1"/>
      <w:marLeft w:val="0"/>
      <w:marRight w:val="0"/>
      <w:marTop w:val="0"/>
      <w:marBottom w:val="0"/>
      <w:divBdr>
        <w:top w:val="none" w:sz="0" w:space="0" w:color="auto"/>
        <w:left w:val="none" w:sz="0" w:space="0" w:color="auto"/>
        <w:bottom w:val="none" w:sz="0" w:space="0" w:color="auto"/>
        <w:right w:val="none" w:sz="0" w:space="0" w:color="auto"/>
      </w:divBdr>
    </w:div>
    <w:div w:id="1540624451">
      <w:bodyDiv w:val="1"/>
      <w:marLeft w:val="0"/>
      <w:marRight w:val="0"/>
      <w:marTop w:val="0"/>
      <w:marBottom w:val="0"/>
      <w:divBdr>
        <w:top w:val="none" w:sz="0" w:space="0" w:color="auto"/>
        <w:left w:val="none" w:sz="0" w:space="0" w:color="auto"/>
        <w:bottom w:val="none" w:sz="0" w:space="0" w:color="auto"/>
        <w:right w:val="none" w:sz="0" w:space="0" w:color="auto"/>
      </w:divBdr>
    </w:div>
    <w:div w:id="1555963709">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3181805">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596479331">
      <w:bodyDiv w:val="1"/>
      <w:marLeft w:val="0"/>
      <w:marRight w:val="0"/>
      <w:marTop w:val="0"/>
      <w:marBottom w:val="0"/>
      <w:divBdr>
        <w:top w:val="none" w:sz="0" w:space="0" w:color="auto"/>
        <w:left w:val="none" w:sz="0" w:space="0" w:color="auto"/>
        <w:bottom w:val="none" w:sz="0" w:space="0" w:color="auto"/>
        <w:right w:val="none" w:sz="0" w:space="0" w:color="auto"/>
      </w:divBdr>
    </w:div>
    <w:div w:id="1621453197">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7418516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28989541">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58869257">
      <w:bodyDiv w:val="1"/>
      <w:marLeft w:val="0"/>
      <w:marRight w:val="0"/>
      <w:marTop w:val="0"/>
      <w:marBottom w:val="0"/>
      <w:divBdr>
        <w:top w:val="none" w:sz="0" w:space="0" w:color="auto"/>
        <w:left w:val="none" w:sz="0" w:space="0" w:color="auto"/>
        <w:bottom w:val="none" w:sz="0" w:space="0" w:color="auto"/>
        <w:right w:val="none" w:sz="0" w:space="0" w:color="auto"/>
      </w:divBdr>
      <w:divsChild>
        <w:div w:id="104470252">
          <w:marLeft w:val="0"/>
          <w:marRight w:val="0"/>
          <w:marTop w:val="0"/>
          <w:marBottom w:val="0"/>
          <w:divBdr>
            <w:top w:val="none" w:sz="0" w:space="0" w:color="auto"/>
            <w:left w:val="none" w:sz="0" w:space="0" w:color="auto"/>
            <w:bottom w:val="none" w:sz="0" w:space="0" w:color="auto"/>
            <w:right w:val="none" w:sz="0" w:space="0" w:color="auto"/>
          </w:divBdr>
          <w:divsChild>
            <w:div w:id="17515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97804">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79334198">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796561162">
      <w:bodyDiv w:val="1"/>
      <w:marLeft w:val="0"/>
      <w:marRight w:val="0"/>
      <w:marTop w:val="0"/>
      <w:marBottom w:val="0"/>
      <w:divBdr>
        <w:top w:val="none" w:sz="0" w:space="0" w:color="auto"/>
        <w:left w:val="none" w:sz="0" w:space="0" w:color="auto"/>
        <w:bottom w:val="none" w:sz="0" w:space="0" w:color="auto"/>
        <w:right w:val="none" w:sz="0" w:space="0" w:color="auto"/>
      </w:divBdr>
    </w:div>
    <w:div w:id="180192140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0921830">
      <w:bodyDiv w:val="1"/>
      <w:marLeft w:val="0"/>
      <w:marRight w:val="0"/>
      <w:marTop w:val="0"/>
      <w:marBottom w:val="0"/>
      <w:divBdr>
        <w:top w:val="none" w:sz="0" w:space="0" w:color="auto"/>
        <w:left w:val="none" w:sz="0" w:space="0" w:color="auto"/>
        <w:bottom w:val="none" w:sz="0" w:space="0" w:color="auto"/>
        <w:right w:val="none" w:sz="0" w:space="0" w:color="auto"/>
      </w:divBdr>
      <w:divsChild>
        <w:div w:id="1627083398">
          <w:marLeft w:val="0"/>
          <w:marRight w:val="0"/>
          <w:marTop w:val="0"/>
          <w:marBottom w:val="0"/>
          <w:divBdr>
            <w:top w:val="none" w:sz="0" w:space="0" w:color="auto"/>
            <w:left w:val="none" w:sz="0" w:space="0" w:color="auto"/>
            <w:bottom w:val="none" w:sz="0" w:space="0" w:color="auto"/>
            <w:right w:val="none" w:sz="0" w:space="0" w:color="auto"/>
          </w:divBdr>
        </w:div>
      </w:divsChild>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32482053">
      <w:bodyDiv w:val="1"/>
      <w:marLeft w:val="0"/>
      <w:marRight w:val="0"/>
      <w:marTop w:val="0"/>
      <w:marBottom w:val="0"/>
      <w:divBdr>
        <w:top w:val="none" w:sz="0" w:space="0" w:color="auto"/>
        <w:left w:val="none" w:sz="0" w:space="0" w:color="auto"/>
        <w:bottom w:val="none" w:sz="0" w:space="0" w:color="auto"/>
        <w:right w:val="none" w:sz="0" w:space="0" w:color="auto"/>
      </w:divBdr>
      <w:divsChild>
        <w:div w:id="1582980105">
          <w:marLeft w:val="0"/>
          <w:marRight w:val="0"/>
          <w:marTop w:val="0"/>
          <w:marBottom w:val="0"/>
          <w:divBdr>
            <w:top w:val="none" w:sz="0" w:space="0" w:color="auto"/>
            <w:left w:val="none" w:sz="0" w:space="0" w:color="auto"/>
            <w:bottom w:val="none" w:sz="0" w:space="0" w:color="auto"/>
            <w:right w:val="none" w:sz="0" w:space="0" w:color="auto"/>
          </w:divBdr>
          <w:divsChild>
            <w:div w:id="2182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63277499">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01476536">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20212303">
      <w:bodyDiv w:val="1"/>
      <w:marLeft w:val="0"/>
      <w:marRight w:val="0"/>
      <w:marTop w:val="0"/>
      <w:marBottom w:val="0"/>
      <w:divBdr>
        <w:top w:val="none" w:sz="0" w:space="0" w:color="auto"/>
        <w:left w:val="none" w:sz="0" w:space="0" w:color="auto"/>
        <w:bottom w:val="none" w:sz="0" w:space="0" w:color="auto"/>
        <w:right w:val="none" w:sz="0" w:space="0" w:color="auto"/>
      </w:divBdr>
    </w:div>
    <w:div w:id="1923367080">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82071972">
      <w:bodyDiv w:val="1"/>
      <w:marLeft w:val="0"/>
      <w:marRight w:val="0"/>
      <w:marTop w:val="0"/>
      <w:marBottom w:val="0"/>
      <w:divBdr>
        <w:top w:val="none" w:sz="0" w:space="0" w:color="auto"/>
        <w:left w:val="none" w:sz="0" w:space="0" w:color="auto"/>
        <w:bottom w:val="none" w:sz="0" w:space="0" w:color="auto"/>
        <w:right w:val="none" w:sz="0" w:space="0" w:color="auto"/>
      </w:divBdr>
      <w:divsChild>
        <w:div w:id="1244874156">
          <w:marLeft w:val="0"/>
          <w:marRight w:val="0"/>
          <w:marTop w:val="0"/>
          <w:marBottom w:val="0"/>
          <w:divBdr>
            <w:top w:val="none" w:sz="0" w:space="0" w:color="auto"/>
            <w:left w:val="none" w:sz="0" w:space="0" w:color="auto"/>
            <w:bottom w:val="none" w:sz="0" w:space="0" w:color="auto"/>
            <w:right w:val="none" w:sz="0" w:space="0" w:color="auto"/>
          </w:divBdr>
          <w:divsChild>
            <w:div w:id="620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49406305">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3500449">
      <w:bodyDiv w:val="1"/>
      <w:marLeft w:val="0"/>
      <w:marRight w:val="0"/>
      <w:marTop w:val="0"/>
      <w:marBottom w:val="0"/>
      <w:divBdr>
        <w:top w:val="none" w:sz="0" w:space="0" w:color="auto"/>
        <w:left w:val="none" w:sz="0" w:space="0" w:color="auto"/>
        <w:bottom w:val="none" w:sz="0" w:space="0" w:color="auto"/>
        <w:right w:val="none" w:sz="0" w:space="0" w:color="auto"/>
      </w:divBdr>
      <w:divsChild>
        <w:div w:id="29498186">
          <w:marLeft w:val="0"/>
          <w:marRight w:val="0"/>
          <w:marTop w:val="0"/>
          <w:marBottom w:val="0"/>
          <w:divBdr>
            <w:top w:val="none" w:sz="0" w:space="0" w:color="auto"/>
            <w:left w:val="none" w:sz="0" w:space="0" w:color="auto"/>
            <w:bottom w:val="none" w:sz="0" w:space="0" w:color="auto"/>
            <w:right w:val="none" w:sz="0" w:space="0" w:color="auto"/>
          </w:divBdr>
          <w:divsChild>
            <w:div w:id="14784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80769">
      <w:bodyDiv w:val="1"/>
      <w:marLeft w:val="0"/>
      <w:marRight w:val="0"/>
      <w:marTop w:val="0"/>
      <w:marBottom w:val="0"/>
      <w:divBdr>
        <w:top w:val="none" w:sz="0" w:space="0" w:color="auto"/>
        <w:left w:val="none" w:sz="0" w:space="0" w:color="auto"/>
        <w:bottom w:val="none" w:sz="0" w:space="0" w:color="auto"/>
        <w:right w:val="none" w:sz="0" w:space="0" w:color="auto"/>
      </w:divBdr>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5272868">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 w:id="2141337961">
      <w:bodyDiv w:val="1"/>
      <w:marLeft w:val="0"/>
      <w:marRight w:val="0"/>
      <w:marTop w:val="0"/>
      <w:marBottom w:val="0"/>
      <w:divBdr>
        <w:top w:val="none" w:sz="0" w:space="0" w:color="auto"/>
        <w:left w:val="none" w:sz="0" w:space="0" w:color="auto"/>
        <w:bottom w:val="none" w:sz="0" w:space="0" w:color="auto"/>
        <w:right w:val="none" w:sz="0" w:space="0" w:color="auto"/>
      </w:divBdr>
      <w:divsChild>
        <w:div w:id="1178688962">
          <w:marLeft w:val="0"/>
          <w:marRight w:val="0"/>
          <w:marTop w:val="0"/>
          <w:marBottom w:val="0"/>
          <w:divBdr>
            <w:top w:val="none" w:sz="0" w:space="0" w:color="auto"/>
            <w:left w:val="none" w:sz="0" w:space="0" w:color="auto"/>
            <w:bottom w:val="none" w:sz="0" w:space="0" w:color="auto"/>
            <w:right w:val="none" w:sz="0" w:space="0" w:color="auto"/>
          </w:divBdr>
          <w:divsChild>
            <w:div w:id="437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2-6573-2486"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https://journal.privietlab.org/index.php/JEBL/index" TargetMode="External"/><Relationship Id="rId2" Type="http://schemas.openxmlformats.org/officeDocument/2006/relationships/image" Target="media/image6.png"/><Relationship Id="rId1"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F2BB6E-2B4E-44C4-97E5-D2DE7038E923}">
  <we:reference id="wa200001361" version="2.129.3.0" store="en-US" storeType="OMEX"/>
  <we:alternateReferences>
    <we:reference id="wa200001361" version="2.129.3.0" store="" storeType="OMEX"/>
  </we:alternateReferences>
  <we:properties>
    <we:property name="paperpal-document-id" value="&quot;e4443939-3179-4031-aa5f-280abd64760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2</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6</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9</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10</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11</b:RefOrder>
  </b:Source>
</b:Sources>
</file>

<file path=customXml/itemProps1.xml><?xml version="1.0" encoding="utf-8"?>
<ds:datastoreItem xmlns:ds="http://schemas.openxmlformats.org/officeDocument/2006/customXml" ds:itemID="{D4AF213C-02EF-409D-A3C8-781BB848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6794</Words>
  <Characters>38728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Mochammad Fahlevi</cp:lastModifiedBy>
  <cp:revision>2</cp:revision>
  <cp:lastPrinted>2025-07-08T10:03:00Z</cp:lastPrinted>
  <dcterms:created xsi:type="dcterms:W3CDTF">2025-07-23T11:37:00Z</dcterms:created>
  <dcterms:modified xsi:type="dcterms:W3CDTF">2025-07-23T11:37:00Z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zotero-version="6.0.36"&gt;&lt;session id="oCIKtEyt"/&gt;&lt;style id="http://www.zotero.org/styles/apa" locale="en-US" hasBibliography="1" bibliographyStyleHasBeenSet="1"/&gt;&lt;prefs&gt;&lt;pref name="fieldType" value="Field"/&gt;&lt;/prefs&gt;&lt;/data&gt;</vt:lpwstr>
  </property>
</Properties>
</file>